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A3773" w14:textId="1305BB79" w:rsidR="00705E60" w:rsidRPr="006D1B82" w:rsidRDefault="00705E60" w:rsidP="00705E60">
      <w:pPr>
        <w:spacing w:after="0"/>
        <w:jc w:val="center"/>
        <w:rPr>
          <w:rFonts w:ascii="HelveticaNeueLT Pro 55 Roman" w:hAnsi="HelveticaNeueLT Pro 55 Roman"/>
          <w:b/>
          <w:sz w:val="32"/>
        </w:rPr>
      </w:pPr>
      <w:r w:rsidRPr="006D1B82">
        <w:rPr>
          <w:rFonts w:ascii="HelveticaNeueLT Pro 55 Roman" w:hAnsi="HelveticaNeueLT Pro 55 Roman"/>
          <w:noProof/>
        </w:rPr>
        <w:drawing>
          <wp:inline distT="0" distB="0" distL="0" distR="0" wp14:anchorId="340EC678" wp14:editId="5B46FDD3">
            <wp:extent cx="1388853" cy="720302"/>
            <wp:effectExtent l="0" t="0" r="1905" b="3810"/>
            <wp:docPr id="1093816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3702" cy="728003"/>
                    </a:xfrm>
                    <a:prstGeom prst="rect">
                      <a:avLst/>
                    </a:prstGeom>
                    <a:noFill/>
                    <a:ln>
                      <a:noFill/>
                    </a:ln>
                  </pic:spPr>
                </pic:pic>
              </a:graphicData>
            </a:graphic>
          </wp:inline>
        </w:drawing>
      </w:r>
    </w:p>
    <w:p w14:paraId="5AB2C245" w14:textId="77777777" w:rsidR="00CD0EFF" w:rsidRDefault="00CD0EFF" w:rsidP="00705E60">
      <w:pPr>
        <w:spacing w:after="0"/>
        <w:jc w:val="center"/>
        <w:rPr>
          <w:rFonts w:ascii="HelveticaNeueLT Pro 55 Roman" w:hAnsi="HelveticaNeueLT Pro 55 Roman"/>
          <w:b/>
          <w:sz w:val="32"/>
        </w:rPr>
      </w:pPr>
    </w:p>
    <w:p w14:paraId="62D7EF51" w14:textId="754B095A" w:rsidR="003E65CE" w:rsidRPr="006D1B82" w:rsidRDefault="00705E60" w:rsidP="00705E60">
      <w:pPr>
        <w:spacing w:after="0"/>
        <w:jc w:val="center"/>
        <w:rPr>
          <w:rFonts w:ascii="HelveticaNeueLT Pro 55 Roman" w:hAnsi="HelveticaNeueLT Pro 55 Roman"/>
        </w:rPr>
      </w:pPr>
      <w:r w:rsidRPr="006D1B82">
        <w:rPr>
          <w:rFonts w:ascii="HelveticaNeueLT Pro 55 Roman" w:hAnsi="HelveticaNeueLT Pro 55 Roman"/>
          <w:b/>
          <w:sz w:val="32"/>
        </w:rPr>
        <w:t>Jane College Gender-based Violence Prevention and Response Plan and Outcomes Framework</w:t>
      </w:r>
    </w:p>
    <w:p w14:paraId="1104E8D8" w14:textId="290E53FB" w:rsidR="003E65CE" w:rsidRPr="006D1B82" w:rsidRDefault="003E65CE" w:rsidP="00705E60">
      <w:pPr>
        <w:spacing w:after="0"/>
        <w:rPr>
          <w:rFonts w:ascii="HelveticaNeueLT Pro 55 Roman" w:hAnsi="HelveticaNeueLT Pro 55 Roman"/>
        </w:rPr>
      </w:pPr>
    </w:p>
    <w:p w14:paraId="046567F6" w14:textId="65BB3C1B" w:rsidR="003E65CE" w:rsidRPr="006D1B82" w:rsidRDefault="007971D6" w:rsidP="00705E60">
      <w:pPr>
        <w:spacing w:after="0"/>
        <w:rPr>
          <w:rFonts w:ascii="HelveticaNeueLT Pro 55 Roman" w:hAnsi="HelveticaNeueLT Pro 55 Roman"/>
        </w:rPr>
      </w:pPr>
      <w:r w:rsidRPr="006D1B82">
        <w:rPr>
          <w:rFonts w:ascii="HelveticaNeueLT Pro 55 Roman" w:hAnsi="HelveticaNeueLT Pro 55 Roman"/>
          <w:b/>
        </w:rPr>
        <w:t xml:space="preserve">Provider name: </w:t>
      </w:r>
      <w:r w:rsidR="00705E60" w:rsidRPr="006D1B82">
        <w:rPr>
          <w:rFonts w:ascii="HelveticaNeueLT Pro 55 Roman" w:hAnsi="HelveticaNeueLT Pro 55 Roman"/>
        </w:rPr>
        <w:t>Jane College</w:t>
      </w:r>
    </w:p>
    <w:p w14:paraId="4151F267" w14:textId="1880C6AC" w:rsidR="003E65CE" w:rsidRPr="006D1B82" w:rsidRDefault="007971D6" w:rsidP="00705E60">
      <w:pPr>
        <w:spacing w:after="0"/>
        <w:rPr>
          <w:rFonts w:ascii="HelveticaNeueLT Pro 55 Roman" w:hAnsi="HelveticaNeueLT Pro 55 Roman"/>
        </w:rPr>
      </w:pPr>
      <w:r w:rsidRPr="006D1B82">
        <w:rPr>
          <w:rFonts w:ascii="HelveticaNeueLT Pro 55 Roman" w:hAnsi="HelveticaNeueLT Pro 55 Roman"/>
          <w:b/>
        </w:rPr>
        <w:t xml:space="preserve">Principal Executive Officer name and position: </w:t>
      </w:r>
      <w:r w:rsidR="00705E60" w:rsidRPr="006D1B82">
        <w:rPr>
          <w:rFonts w:ascii="HelveticaNeueLT Pro 55 Roman" w:hAnsi="HelveticaNeueLT Pro 55 Roman"/>
        </w:rPr>
        <w:t>Joanna Rosewell, Principal/CEO</w:t>
      </w:r>
    </w:p>
    <w:p w14:paraId="7FCD2F6F" w14:textId="1A128529" w:rsidR="003E65CE" w:rsidRPr="006D1B82" w:rsidRDefault="007971D6" w:rsidP="00705E60">
      <w:pPr>
        <w:spacing w:after="0"/>
        <w:rPr>
          <w:rFonts w:ascii="HelveticaNeueLT Pro 55 Roman" w:hAnsi="HelveticaNeueLT Pro 55 Roman"/>
        </w:rPr>
      </w:pPr>
      <w:r w:rsidRPr="006D1B82">
        <w:rPr>
          <w:rFonts w:ascii="HelveticaNeueLT Pro 55 Roman" w:hAnsi="HelveticaNeueLT Pro 55 Roman"/>
          <w:b/>
        </w:rPr>
        <w:t xml:space="preserve">Plan period: </w:t>
      </w:r>
      <w:r w:rsidRPr="006D1B82">
        <w:rPr>
          <w:rFonts w:ascii="HelveticaNeueLT Pro 55 Roman" w:hAnsi="HelveticaNeueLT Pro 55 Roman"/>
        </w:rPr>
        <w:t>1 January 2026 to 31 December 20</w:t>
      </w:r>
      <w:r w:rsidR="00705E60" w:rsidRPr="006D1B82">
        <w:rPr>
          <w:rFonts w:ascii="HelveticaNeueLT Pro 55 Roman" w:hAnsi="HelveticaNeueLT Pro 55 Roman"/>
        </w:rPr>
        <w:t>2</w:t>
      </w:r>
      <w:r w:rsidR="00885B1E">
        <w:rPr>
          <w:rFonts w:ascii="HelveticaNeueLT Pro 55 Roman" w:hAnsi="HelveticaNeueLT Pro 55 Roman"/>
        </w:rPr>
        <w:t>9</w:t>
      </w:r>
    </w:p>
    <w:p w14:paraId="6953B5B9" w14:textId="77777777" w:rsidR="00705E60" w:rsidRDefault="00705E60" w:rsidP="00705E60">
      <w:pPr>
        <w:spacing w:after="0"/>
        <w:rPr>
          <w:rFonts w:ascii="HelveticaNeueLT Pro 55 Roman" w:hAnsi="HelveticaNeueLT Pro 55 Roman"/>
        </w:rPr>
      </w:pPr>
    </w:p>
    <w:p w14:paraId="678D2C95" w14:textId="77777777" w:rsidR="00574C96" w:rsidRPr="006D1B82" w:rsidRDefault="00574C96" w:rsidP="00705E60">
      <w:pPr>
        <w:spacing w:after="0"/>
        <w:rPr>
          <w:rFonts w:ascii="HelveticaNeueLT Pro 55 Roman" w:hAnsi="HelveticaNeueLT Pro 55 Roman"/>
        </w:rPr>
      </w:pPr>
    </w:p>
    <w:p w14:paraId="336F3C7D" w14:textId="481598A8" w:rsidR="007971D6" w:rsidRPr="00CD0EFF" w:rsidRDefault="007971D6" w:rsidP="07E37946">
      <w:pPr>
        <w:spacing w:after="0"/>
        <w:rPr>
          <w:rFonts w:ascii="HelveticaNeueLT Pro 55 Roman" w:hAnsi="HelveticaNeueLT Pro 55 Roman"/>
          <w:color w:val="EE0000"/>
        </w:rPr>
      </w:pPr>
      <w:r w:rsidRPr="00CD0EFF">
        <w:rPr>
          <w:rFonts w:ascii="HelveticaNeueLT Pro 55 Roman" w:hAnsi="HelveticaNeueLT Pro 55 Roman"/>
          <w:b/>
          <w:bCs/>
          <w:color w:val="EE0000"/>
        </w:rPr>
        <w:t>1. Statement of commitment</w:t>
      </w:r>
      <w:r w:rsidR="47032344" w:rsidRPr="00CD0EFF">
        <w:rPr>
          <w:rFonts w:ascii="HelveticaNeueLT Pro 55 Roman" w:eastAsia="HelveticaNeueLT Pro 55 Roman" w:hAnsi="HelveticaNeueLT Pro 55 Roman" w:cs="HelveticaNeueLT Pro 55 Roman"/>
          <w:b/>
          <w:bCs/>
          <w:color w:val="EE0000"/>
        </w:rPr>
        <w:t xml:space="preserve"> to Gender-Based Violence Prevention and Response</w:t>
      </w:r>
    </w:p>
    <w:p w14:paraId="340431FB" w14:textId="1522A339" w:rsidR="47032344" w:rsidRPr="00CD0EFF" w:rsidRDefault="47032344" w:rsidP="07E37946">
      <w:pPr>
        <w:spacing w:before="240" w:after="240"/>
        <w:rPr>
          <w:rFonts w:ascii="HelveticaNeueLT Pro 55 Roman" w:hAnsi="HelveticaNeueLT Pro 55 Roman"/>
        </w:rPr>
      </w:pPr>
      <w:r w:rsidRPr="00CD0EFF">
        <w:rPr>
          <w:rFonts w:ascii="HelveticaNeueLT Pro 55 Roman" w:eastAsia="HelveticaNeueLT Pro 55 Roman" w:hAnsi="HelveticaNeueLT Pro 55 Roman" w:cs="HelveticaNeueLT Pro 55 Roman"/>
        </w:rPr>
        <w:t xml:space="preserve">Jane College is committed to creating a community in which all students and staff are safe, respected and able to thrive. This commitment is articulated and operationalised through the </w:t>
      </w:r>
      <w:r w:rsidRPr="00CD0EFF">
        <w:rPr>
          <w:rFonts w:ascii="HelveticaNeueLT Pro 55 Roman" w:eastAsia="HelveticaNeueLT Pro 55 Roman" w:hAnsi="HelveticaNeueLT Pro 55 Roman" w:cs="HelveticaNeueLT Pro 55 Roman"/>
          <w:b/>
          <w:bCs/>
        </w:rPr>
        <w:t>Jane Accord</w:t>
      </w:r>
      <w:r w:rsidRPr="00CD0EFF">
        <w:rPr>
          <w:rFonts w:ascii="HelveticaNeueLT Pro 55 Roman" w:eastAsia="HelveticaNeueLT Pro 55 Roman" w:hAnsi="HelveticaNeueLT Pro 55 Roman" w:cs="HelveticaNeueLT Pro 55 Roman"/>
        </w:rPr>
        <w:t>, which centres truth-telling, community responsibility, restorative principles, culturally safe practice, and continuous improvement. The Accord serves as a philosophical and practical foundation for the College’s GBV Prevention and Response Plan, ensuring that all policies and actions:</w:t>
      </w:r>
    </w:p>
    <w:p w14:paraId="69ABD8C5" w14:textId="76EE7F92" w:rsidR="47032344" w:rsidRPr="00CD0EFF" w:rsidRDefault="47032344" w:rsidP="07E37946">
      <w:pPr>
        <w:pStyle w:val="ListParagraph"/>
        <w:numPr>
          <w:ilvl w:val="0"/>
          <w:numId w:val="3"/>
        </w:numPr>
        <w:spacing w:before="240" w:after="240"/>
        <w:rPr>
          <w:rFonts w:ascii="HelveticaNeueLT Pro 55 Roman" w:eastAsia="HelveticaNeueLT Pro 55 Roman" w:hAnsi="HelveticaNeueLT Pro 55 Roman" w:cs="HelveticaNeueLT Pro 55 Roman"/>
        </w:rPr>
      </w:pPr>
      <w:proofErr w:type="gramStart"/>
      <w:r w:rsidRPr="00CD0EFF">
        <w:rPr>
          <w:rFonts w:ascii="HelveticaNeueLT Pro 55 Roman" w:eastAsia="HelveticaNeueLT Pro 55 Roman" w:hAnsi="HelveticaNeueLT Pro 55 Roman" w:cs="HelveticaNeueLT Pro 55 Roman"/>
        </w:rPr>
        <w:t>Prioritise</w:t>
      </w:r>
      <w:proofErr w:type="gramEnd"/>
      <w:r w:rsidRPr="00CD0EFF">
        <w:rPr>
          <w:rFonts w:ascii="HelveticaNeueLT Pro 55 Roman" w:eastAsia="HelveticaNeueLT Pro 55 Roman" w:hAnsi="HelveticaNeueLT Pro 55 Roman" w:cs="HelveticaNeueLT Pro 55 Roman"/>
        </w:rPr>
        <w:t xml:space="preserve"> safety and dignity</w:t>
      </w:r>
    </w:p>
    <w:p w14:paraId="7D332F45" w14:textId="61EED51D" w:rsidR="47032344" w:rsidRPr="00CD0EFF" w:rsidRDefault="47032344" w:rsidP="07E37946">
      <w:pPr>
        <w:pStyle w:val="ListParagraph"/>
        <w:numPr>
          <w:ilvl w:val="0"/>
          <w:numId w:val="3"/>
        </w:numPr>
        <w:spacing w:before="240" w:after="240"/>
        <w:rPr>
          <w:rFonts w:ascii="HelveticaNeueLT Pro 55 Roman" w:eastAsia="HelveticaNeueLT Pro 55 Roman" w:hAnsi="HelveticaNeueLT Pro 55 Roman" w:cs="HelveticaNeueLT Pro 55 Roman"/>
        </w:rPr>
      </w:pPr>
      <w:r w:rsidRPr="00CD0EFF">
        <w:rPr>
          <w:rFonts w:ascii="HelveticaNeueLT Pro 55 Roman" w:eastAsia="HelveticaNeueLT Pro 55 Roman" w:hAnsi="HelveticaNeueLT Pro 55 Roman" w:cs="HelveticaNeueLT Pro 55 Roman"/>
        </w:rPr>
        <w:t>Uphold trauma-informed and survivor-centred practice</w:t>
      </w:r>
    </w:p>
    <w:p w14:paraId="2367FCAC" w14:textId="63BA0BEF" w:rsidR="47032344" w:rsidRPr="00CD0EFF" w:rsidRDefault="47032344" w:rsidP="07E37946">
      <w:pPr>
        <w:pStyle w:val="ListParagraph"/>
        <w:numPr>
          <w:ilvl w:val="0"/>
          <w:numId w:val="3"/>
        </w:numPr>
        <w:spacing w:before="240" w:after="240"/>
        <w:rPr>
          <w:rFonts w:ascii="HelveticaNeueLT Pro 55 Roman" w:eastAsia="HelveticaNeueLT Pro 55 Roman" w:hAnsi="HelveticaNeueLT Pro 55 Roman" w:cs="HelveticaNeueLT Pro 55 Roman"/>
        </w:rPr>
      </w:pPr>
      <w:r w:rsidRPr="00CD0EFF">
        <w:rPr>
          <w:rFonts w:ascii="HelveticaNeueLT Pro 55 Roman" w:eastAsia="HelveticaNeueLT Pro 55 Roman" w:hAnsi="HelveticaNeueLT Pro 55 Roman" w:cs="HelveticaNeueLT Pro 55 Roman"/>
        </w:rPr>
        <w:t>Take a whole-of-organisation approach</w:t>
      </w:r>
    </w:p>
    <w:p w14:paraId="19223099" w14:textId="46AEFFD9" w:rsidR="47032344" w:rsidRPr="00CD0EFF" w:rsidRDefault="47032344" w:rsidP="07E37946">
      <w:pPr>
        <w:pStyle w:val="ListParagraph"/>
        <w:numPr>
          <w:ilvl w:val="0"/>
          <w:numId w:val="3"/>
        </w:numPr>
        <w:spacing w:before="240" w:after="240"/>
        <w:rPr>
          <w:rFonts w:ascii="HelveticaNeueLT Pro 55 Roman" w:eastAsia="HelveticaNeueLT Pro 55 Roman" w:hAnsi="HelveticaNeueLT Pro 55 Roman" w:cs="HelveticaNeueLT Pro 55 Roman"/>
        </w:rPr>
      </w:pPr>
      <w:r w:rsidRPr="00CD0EFF">
        <w:rPr>
          <w:rFonts w:ascii="HelveticaNeueLT Pro 55 Roman" w:eastAsia="HelveticaNeueLT Pro 55 Roman" w:hAnsi="HelveticaNeueLT Pro 55 Roman" w:cs="HelveticaNeueLT Pro 55 Roman"/>
        </w:rPr>
        <w:t>Reflect the voices and lived experiences of students and staff</w:t>
      </w:r>
    </w:p>
    <w:p w14:paraId="6F2361B7" w14:textId="15D5F851" w:rsidR="47032344" w:rsidRPr="00CD0EFF" w:rsidRDefault="47032344" w:rsidP="07E37946">
      <w:pPr>
        <w:pStyle w:val="ListParagraph"/>
        <w:numPr>
          <w:ilvl w:val="0"/>
          <w:numId w:val="3"/>
        </w:numPr>
        <w:spacing w:before="240" w:after="240"/>
        <w:rPr>
          <w:rFonts w:ascii="HelveticaNeueLT Pro 55 Roman" w:eastAsia="HelveticaNeueLT Pro 55 Roman" w:hAnsi="HelveticaNeueLT Pro 55 Roman" w:cs="HelveticaNeueLT Pro 55 Roman"/>
        </w:rPr>
      </w:pPr>
      <w:r w:rsidRPr="00CD0EFF">
        <w:rPr>
          <w:rFonts w:ascii="HelveticaNeueLT Pro 55 Roman" w:eastAsia="HelveticaNeueLT Pro 55 Roman" w:hAnsi="HelveticaNeueLT Pro 55 Roman" w:cs="HelveticaNeueLT Pro 55 Roman"/>
        </w:rPr>
        <w:t>Strengthen accountability across governance, leadership and operations</w:t>
      </w:r>
    </w:p>
    <w:p w14:paraId="184F1819" w14:textId="6EE1D191" w:rsidR="00705E60" w:rsidRPr="00CD0EFF" w:rsidRDefault="3C17E8B2" w:rsidP="2F2C72FC">
      <w:pPr>
        <w:spacing w:after="160"/>
        <w:rPr>
          <w:rFonts w:ascii="HelveticaNeueLT Pro 55 Roman" w:hAnsi="HelveticaNeueLT Pro 55 Roman"/>
        </w:rPr>
      </w:pPr>
      <w:r w:rsidRPr="00CD0EFF">
        <w:rPr>
          <w:rFonts w:ascii="HelveticaNeueLT Pro 55 Roman" w:eastAsia="Aptos" w:hAnsi="HelveticaNeueLT Pro 55 Roman" w:cs="Aptos"/>
        </w:rPr>
        <w:t>Gender-based violence (GBV) has no place in our community. We recognise our responsibility, as a higher education student accommodation provider, to prevent GBV wherever possible and to respond to all forms of GBV swiftly, compassionately and in accordance with trauma-informed best practice.</w:t>
      </w:r>
    </w:p>
    <w:p w14:paraId="4AF10C9E" w14:textId="35B914AC" w:rsidR="00705E60" w:rsidRPr="00CD0EFF" w:rsidRDefault="3C17E8B2" w:rsidP="2F2C72FC">
      <w:pPr>
        <w:spacing w:after="160"/>
        <w:rPr>
          <w:rFonts w:ascii="HelveticaNeueLT Pro 55 Roman" w:hAnsi="HelveticaNeueLT Pro 55 Roman"/>
        </w:rPr>
      </w:pPr>
      <w:r w:rsidRPr="00CD0EFF">
        <w:rPr>
          <w:rFonts w:ascii="HelveticaNeueLT Pro 55 Roman" w:eastAsia="Aptos" w:hAnsi="HelveticaNeueLT Pro 55 Roman" w:cs="Aptos"/>
        </w:rPr>
        <w:lastRenderedPageBreak/>
        <w:t>This Plan outlines the whole-of-organisation systems, structures and actions through which Jane College will meet the requirements of the National Higher Education Code to Prevent and Respond to Gender-Based Violence (the Code), and the cultural standards and commitments of the Jane Accord.</w:t>
      </w:r>
    </w:p>
    <w:p w14:paraId="546FB17E" w14:textId="3ECF87E7" w:rsidR="003E65CE" w:rsidRPr="006D1B82" w:rsidRDefault="007971D6" w:rsidP="2F2C72FC">
      <w:pPr>
        <w:spacing w:after="0"/>
        <w:rPr>
          <w:rFonts w:ascii="HelveticaNeueLT Pro 55 Roman" w:hAnsi="HelveticaNeueLT Pro 55 Roman"/>
          <w:highlight w:val="yellow"/>
        </w:rPr>
      </w:pPr>
      <w:r w:rsidRPr="07E37946">
        <w:rPr>
          <w:rFonts w:ascii="HelveticaNeueLT Pro 55 Roman" w:hAnsi="HelveticaNeueLT Pro 55 Roman"/>
          <w:b/>
          <w:bCs/>
          <w:color w:val="EA2833"/>
        </w:rPr>
        <w:t>2. Provider overview</w:t>
      </w:r>
      <w:r w:rsidR="006D1B82" w:rsidRPr="07E37946">
        <w:rPr>
          <w:rFonts w:ascii="HelveticaNeueLT Pro 55 Roman" w:hAnsi="HelveticaNeueLT Pro 55 Roman"/>
          <w:b/>
          <w:bCs/>
        </w:rPr>
        <w:t xml:space="preserve"> </w:t>
      </w:r>
    </w:p>
    <w:p w14:paraId="39998B11" w14:textId="793D1D93" w:rsidR="494728BF" w:rsidRDefault="494728BF" w:rsidP="07E37946">
      <w:pPr>
        <w:spacing w:before="240" w:after="240"/>
        <w:rPr>
          <w:rFonts w:ascii="HelveticaNeueLT Pro 55 Roman" w:eastAsia="HelveticaNeueLT Pro 55 Roman" w:hAnsi="HelveticaNeueLT Pro 55 Roman" w:cs="HelveticaNeueLT Pro 55 Roman"/>
        </w:rPr>
      </w:pPr>
      <w:r w:rsidRPr="00CD0EFF">
        <w:rPr>
          <w:rFonts w:ascii="HelveticaNeueLT Pro 55 Roman" w:eastAsia="HelveticaNeueLT Pro 55 Roman" w:hAnsi="HelveticaNeueLT Pro 55 Roman" w:cs="HelveticaNeueLT Pro 55 Roman"/>
        </w:rPr>
        <w:t xml:space="preserve">Jane College (formerly Jane Franklin Hall) is an independent, non-denominational residential college affiliated with the University of Tasmania. Situated in South Hobart between the University’s Sandy Bay and City campuses, the College is home to approximately 130 undergraduate students and </w:t>
      </w:r>
      <w:r w:rsidR="00CD0EFF">
        <w:rPr>
          <w:rFonts w:ascii="HelveticaNeueLT Pro 55 Roman" w:eastAsia="HelveticaNeueLT Pro 55 Roman" w:hAnsi="HelveticaNeueLT Pro 55 Roman" w:cs="HelveticaNeueLT Pro 55 Roman"/>
        </w:rPr>
        <w:t>a small number of</w:t>
      </w:r>
      <w:r w:rsidRPr="00CD0EFF">
        <w:rPr>
          <w:rFonts w:ascii="HelveticaNeueLT Pro 55 Roman" w:eastAsia="HelveticaNeueLT Pro 55 Roman" w:hAnsi="HelveticaNeueLT Pro 55 Roman" w:cs="HelveticaNeueLT Pro 55 Roman"/>
        </w:rPr>
        <w:t xml:space="preserve"> postgraduate students from across Tasmania, mainland Australia, and a diverse range of international communities. The College provides a fully catered, supportive, residential environment grounded in academic success, wellbeing, respect and community belonging.</w:t>
      </w:r>
    </w:p>
    <w:p w14:paraId="79305252" w14:textId="13987350" w:rsidR="005A1B87" w:rsidRDefault="005A1B87" w:rsidP="07E37946">
      <w:pPr>
        <w:spacing w:before="240" w:after="240"/>
        <w:rPr>
          <w:rFonts w:ascii="HelveticaNeueLT Pro 55 Roman" w:eastAsia="HelveticaNeueLT Pro 55 Roman" w:hAnsi="HelveticaNeueLT Pro 55 Roman" w:cs="HelveticaNeueLT Pro 55 Roman"/>
        </w:rPr>
      </w:pPr>
      <w:r>
        <w:rPr>
          <w:rFonts w:ascii="HelveticaNeueLT Pro 55 Roman" w:eastAsia="HelveticaNeueLT Pro 55 Roman" w:hAnsi="HelveticaNeueLT Pro 55 Roman" w:cs="HelveticaNeueLT Pro 55 Roman"/>
        </w:rPr>
        <w:t xml:space="preserve">The demographics of the College vary each year but are approximated on average to be as follows: </w:t>
      </w:r>
    </w:p>
    <w:p w14:paraId="4536393D" w14:textId="08AF98A5"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Average age of students</w:t>
      </w:r>
      <w:r>
        <w:rPr>
          <w:rFonts w:ascii="HelveticaNeueLT Pro 55 Roman" w:eastAsia="HelveticaNeueLT Pro 55 Roman" w:hAnsi="HelveticaNeueLT Pro 55 Roman" w:cs="HelveticaNeueLT Pro 55 Roman"/>
        </w:rPr>
        <w:t xml:space="preserve">: </w:t>
      </w:r>
      <w:r w:rsidR="00E10BCE">
        <w:rPr>
          <w:rFonts w:ascii="HelveticaNeueLT Pro 55 Roman" w:eastAsia="HelveticaNeueLT Pro 55 Roman" w:hAnsi="HelveticaNeueLT Pro 55 Roman" w:cs="HelveticaNeueLT Pro 55 Roman"/>
        </w:rPr>
        <w:t>19</w:t>
      </w:r>
    </w:p>
    <w:p w14:paraId="08BBEA7F" w14:textId="10433DD7"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Female students</w:t>
      </w:r>
      <w:r>
        <w:rPr>
          <w:rFonts w:ascii="HelveticaNeueLT Pro 55 Roman" w:eastAsia="HelveticaNeueLT Pro 55 Roman" w:hAnsi="HelveticaNeueLT Pro 55 Roman" w:cs="HelveticaNeueLT Pro 55 Roman"/>
        </w:rPr>
        <w:t>: 54%</w:t>
      </w:r>
    </w:p>
    <w:p w14:paraId="2397AF0E" w14:textId="0F477F88"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Male students</w:t>
      </w:r>
      <w:r>
        <w:rPr>
          <w:rFonts w:ascii="HelveticaNeueLT Pro 55 Roman" w:eastAsia="HelveticaNeueLT Pro 55 Roman" w:hAnsi="HelveticaNeueLT Pro 55 Roman" w:cs="HelveticaNeueLT Pro 55 Roman"/>
        </w:rPr>
        <w:t>: 44%</w:t>
      </w:r>
    </w:p>
    <w:p w14:paraId="464D0373" w14:textId="684A282F"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Non-binary students</w:t>
      </w:r>
      <w:r>
        <w:rPr>
          <w:rFonts w:ascii="HelveticaNeueLT Pro 55 Roman" w:eastAsia="HelveticaNeueLT Pro 55 Roman" w:hAnsi="HelveticaNeueLT Pro 55 Roman" w:cs="HelveticaNeueLT Pro 55 Roman"/>
        </w:rPr>
        <w:t>: 2%</w:t>
      </w:r>
    </w:p>
    <w:p w14:paraId="723AB7C7" w14:textId="7BE1AE85"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CALD</w:t>
      </w:r>
      <w:r>
        <w:rPr>
          <w:rFonts w:ascii="HelveticaNeueLT Pro 55 Roman" w:eastAsia="HelveticaNeueLT Pro 55 Roman" w:hAnsi="HelveticaNeueLT Pro 55 Roman" w:cs="HelveticaNeueLT Pro 55 Roman"/>
        </w:rPr>
        <w:t>: 20%</w:t>
      </w:r>
    </w:p>
    <w:p w14:paraId="4C908CE0" w14:textId="3ACB4778"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Fi</w:t>
      </w:r>
      <w:r>
        <w:rPr>
          <w:rFonts w:ascii="HelveticaNeueLT Pro 55 Roman" w:eastAsia="HelveticaNeueLT Pro 55 Roman" w:hAnsi="HelveticaNeueLT Pro 55 Roman" w:cs="HelveticaNeueLT Pro 55 Roman"/>
        </w:rPr>
        <w:t>r</w:t>
      </w:r>
      <w:r w:rsidRPr="005A1B87">
        <w:rPr>
          <w:rFonts w:ascii="HelveticaNeueLT Pro 55 Roman" w:eastAsia="HelveticaNeueLT Pro 55 Roman" w:hAnsi="HelveticaNeueLT Pro 55 Roman" w:cs="HelveticaNeueLT Pro 55 Roman"/>
        </w:rPr>
        <w:t>st nations</w:t>
      </w:r>
      <w:r>
        <w:rPr>
          <w:rFonts w:ascii="HelveticaNeueLT Pro 55 Roman" w:eastAsia="HelveticaNeueLT Pro 55 Roman" w:hAnsi="HelveticaNeueLT Pro 55 Roman" w:cs="HelveticaNeueLT Pro 55 Roman"/>
        </w:rPr>
        <w:t>: 2%</w:t>
      </w:r>
      <w:r w:rsidRPr="005A1B87">
        <w:rPr>
          <w:rFonts w:ascii="HelveticaNeueLT Pro 55 Roman" w:eastAsia="HelveticaNeueLT Pro 55 Roman" w:hAnsi="HelveticaNeueLT Pro 55 Roman" w:cs="HelveticaNeueLT Pro 55 Roman"/>
        </w:rPr>
        <w:t xml:space="preserve"> </w:t>
      </w:r>
    </w:p>
    <w:p w14:paraId="7B361038" w14:textId="2D4BB93D"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Students with disability (mostly living with neurodiversity)</w:t>
      </w:r>
      <w:r>
        <w:rPr>
          <w:rFonts w:ascii="HelveticaNeueLT Pro 55 Roman" w:eastAsia="HelveticaNeueLT Pro 55 Roman" w:hAnsi="HelveticaNeueLT Pro 55 Roman" w:cs="HelveticaNeueLT Pro 55 Roman"/>
        </w:rPr>
        <w:t>: 27%</w:t>
      </w:r>
    </w:p>
    <w:p w14:paraId="27B111D0" w14:textId="020517E0" w:rsidR="005A1B87" w:rsidRPr="005A1B87" w:rsidRDefault="005A1B87" w:rsidP="005A1B87">
      <w:pPr>
        <w:pStyle w:val="ListParagraph"/>
        <w:numPr>
          <w:ilvl w:val="0"/>
          <w:numId w:val="13"/>
        </w:numPr>
        <w:spacing w:before="240" w:after="240"/>
        <w:rPr>
          <w:rFonts w:ascii="HelveticaNeueLT Pro 55 Roman" w:eastAsia="HelveticaNeueLT Pro 55 Roman" w:hAnsi="HelveticaNeueLT Pro 55 Roman" w:cs="HelveticaNeueLT Pro 55 Roman"/>
        </w:rPr>
      </w:pPr>
      <w:r w:rsidRPr="005A1B87">
        <w:rPr>
          <w:rFonts w:ascii="HelveticaNeueLT Pro 55 Roman" w:eastAsia="HelveticaNeueLT Pro 55 Roman" w:hAnsi="HelveticaNeueLT Pro 55 Roman" w:cs="HelveticaNeueLT Pro 55 Roman"/>
        </w:rPr>
        <w:t>Low-</w:t>
      </w:r>
      <w:r>
        <w:rPr>
          <w:rFonts w:ascii="HelveticaNeueLT Pro 55 Roman" w:eastAsia="HelveticaNeueLT Pro 55 Roman" w:hAnsi="HelveticaNeueLT Pro 55 Roman" w:cs="HelveticaNeueLT Pro 55 Roman"/>
        </w:rPr>
        <w:t>s</w:t>
      </w:r>
      <w:r w:rsidRPr="005A1B87">
        <w:rPr>
          <w:rFonts w:ascii="HelveticaNeueLT Pro 55 Roman" w:eastAsia="HelveticaNeueLT Pro 55 Roman" w:hAnsi="HelveticaNeueLT Pro 55 Roman" w:cs="HelveticaNeueLT Pro 55 Roman"/>
        </w:rPr>
        <w:t>ocio economic</w:t>
      </w:r>
      <w:r>
        <w:rPr>
          <w:rFonts w:ascii="HelveticaNeueLT Pro 55 Roman" w:eastAsia="HelveticaNeueLT Pro 55 Roman" w:hAnsi="HelveticaNeueLT Pro 55 Roman" w:cs="HelveticaNeueLT Pro 55 Roman"/>
        </w:rPr>
        <w:t>: 45%</w:t>
      </w:r>
    </w:p>
    <w:p w14:paraId="1EDC873C" w14:textId="2DAB4C81" w:rsidR="005A1B87" w:rsidRPr="005A1B87" w:rsidRDefault="005A1B87" w:rsidP="005A1B87">
      <w:pPr>
        <w:pStyle w:val="ListParagraph"/>
        <w:numPr>
          <w:ilvl w:val="0"/>
          <w:numId w:val="13"/>
        </w:numPr>
        <w:spacing w:before="240" w:after="240"/>
      </w:pPr>
      <w:r w:rsidRPr="005A1B87">
        <w:rPr>
          <w:rFonts w:ascii="HelveticaNeueLT Pro 55 Roman" w:eastAsia="HelveticaNeueLT Pro 55 Roman" w:hAnsi="HelveticaNeueLT Pro 55 Roman" w:cs="HelveticaNeueLT Pro 55 Roman"/>
        </w:rPr>
        <w:t>LGBTQIA</w:t>
      </w:r>
      <w:r>
        <w:rPr>
          <w:rFonts w:ascii="HelveticaNeueLT Pro 55 Roman" w:eastAsia="HelveticaNeueLT Pro 55 Roman" w:hAnsi="HelveticaNeueLT Pro 55 Roman" w:cs="HelveticaNeueLT Pro 55 Roman"/>
        </w:rPr>
        <w:t>: 15%</w:t>
      </w:r>
    </w:p>
    <w:p w14:paraId="4516B6E5" w14:textId="5C9E4769" w:rsidR="005A1B87" w:rsidRPr="00CD0EFF" w:rsidRDefault="005A1B87" w:rsidP="005A1B87">
      <w:pPr>
        <w:pStyle w:val="ListParagraph"/>
        <w:numPr>
          <w:ilvl w:val="0"/>
          <w:numId w:val="13"/>
        </w:numPr>
        <w:spacing w:before="240" w:after="240"/>
      </w:pPr>
      <w:r>
        <w:rPr>
          <w:rFonts w:ascii="HelveticaNeueLT Pro 55 Roman" w:eastAsia="HelveticaNeueLT Pro 55 Roman" w:hAnsi="HelveticaNeueLT Pro 55 Roman" w:cs="HelveticaNeueLT Pro 55 Roman"/>
        </w:rPr>
        <w:t xml:space="preserve">Under 18 students: </w:t>
      </w:r>
      <w:r w:rsidR="00F80C26">
        <w:rPr>
          <w:rFonts w:ascii="HelveticaNeueLT Pro 55 Roman" w:eastAsia="HelveticaNeueLT Pro 55 Roman" w:hAnsi="HelveticaNeueLT Pro 55 Roman" w:cs="HelveticaNeueLT Pro 55 Roman"/>
        </w:rPr>
        <w:t xml:space="preserve">5% </w:t>
      </w:r>
    </w:p>
    <w:p w14:paraId="7F21EE2F" w14:textId="79F82F24" w:rsidR="00CD0EFF" w:rsidRDefault="494728BF" w:rsidP="07E37946">
      <w:pPr>
        <w:spacing w:before="240" w:after="240"/>
        <w:rPr>
          <w:rFonts w:ascii="HelveticaNeueLT Pro 55 Roman" w:eastAsia="HelveticaNeueLT Pro 55 Roman" w:hAnsi="HelveticaNeueLT Pro 55 Roman" w:cs="HelveticaNeueLT Pro 55 Roman"/>
        </w:rPr>
      </w:pPr>
      <w:r w:rsidRPr="00CD0EFF">
        <w:rPr>
          <w:rFonts w:ascii="HelveticaNeueLT Pro 55 Roman" w:eastAsia="HelveticaNeueLT Pro 55 Roman" w:hAnsi="HelveticaNeueLT Pro 55 Roman" w:cs="HelveticaNeueLT Pro 55 Roman"/>
        </w:rPr>
        <w:t xml:space="preserve">The College is governed by the College Council, which holds ultimate responsibility for safety, compliance, and strategic oversight. Day-to-day operations and pastoral care are delivered by approximately 25 employees, including Senior Residents, wellbeing staff, </w:t>
      </w:r>
      <w:r w:rsidR="007B0B2C">
        <w:rPr>
          <w:rFonts w:ascii="HelveticaNeueLT Pro 55 Roman" w:eastAsia="HelveticaNeueLT Pro 55 Roman" w:hAnsi="HelveticaNeueLT Pro 55 Roman" w:cs="HelveticaNeueLT Pro 55 Roman"/>
        </w:rPr>
        <w:t xml:space="preserve">the Management team and </w:t>
      </w:r>
      <w:r w:rsidRPr="00CD0EFF">
        <w:rPr>
          <w:rFonts w:ascii="HelveticaNeueLT Pro 55 Roman" w:eastAsia="HelveticaNeueLT Pro 55 Roman" w:hAnsi="HelveticaNeueLT Pro 55 Roman" w:cs="HelveticaNeueLT Pro 55 Roman"/>
        </w:rPr>
        <w:t xml:space="preserve">professional staff. </w:t>
      </w:r>
    </w:p>
    <w:p w14:paraId="35DDC3BB" w14:textId="7A8AE1A0" w:rsidR="494728BF" w:rsidRPr="007B0B2C" w:rsidRDefault="494728BF" w:rsidP="07E37946">
      <w:pPr>
        <w:spacing w:before="240" w:after="240"/>
        <w:rPr>
          <w:rFonts w:ascii="HelveticaNeueLT Pro 55 Roman" w:hAnsi="HelveticaNeueLT Pro 55 Roman"/>
        </w:rPr>
      </w:pPr>
      <w:r w:rsidRPr="00CD0EFF">
        <w:rPr>
          <w:rFonts w:ascii="HelveticaNeueLT Pro 55 Roman" w:eastAsia="HelveticaNeueLT Pro 55 Roman" w:hAnsi="HelveticaNeueLT Pro 55 Roman" w:cs="HelveticaNeueLT Pro 55 Roman"/>
        </w:rPr>
        <w:t>A dedicated Sub-Committee of Council</w:t>
      </w:r>
      <w:r w:rsidR="00CD0EFF">
        <w:rPr>
          <w:rFonts w:ascii="HelveticaNeueLT Pro 55 Roman" w:eastAsia="HelveticaNeueLT Pro 55 Roman" w:hAnsi="HelveticaNeueLT Pro 55 Roman" w:cs="HelveticaNeueLT Pro 55 Roman"/>
        </w:rPr>
        <w:t>, t</w:t>
      </w:r>
      <w:r w:rsidRPr="00CD0EFF">
        <w:rPr>
          <w:rFonts w:ascii="HelveticaNeueLT Pro 55 Roman" w:eastAsia="HelveticaNeueLT Pro 55 Roman" w:hAnsi="HelveticaNeueLT Pro 55 Roman" w:cs="HelveticaNeueLT Pro 55 Roman"/>
        </w:rPr>
        <w:t>he College Culture Committee</w:t>
      </w:r>
      <w:r w:rsidR="007B0B2C">
        <w:rPr>
          <w:rFonts w:ascii="HelveticaNeueLT Pro 55 Roman" w:eastAsia="HelveticaNeueLT Pro 55 Roman" w:hAnsi="HelveticaNeueLT Pro 55 Roman" w:cs="HelveticaNeueLT Pro 55 Roman"/>
        </w:rPr>
        <w:t>,</w:t>
      </w:r>
      <w:r w:rsidR="00CD0EFF">
        <w:rPr>
          <w:rFonts w:ascii="HelveticaNeueLT Pro 55 Roman" w:eastAsia="HelveticaNeueLT Pro 55 Roman" w:hAnsi="HelveticaNeueLT Pro 55 Roman" w:cs="HelveticaNeueLT Pro 55 Roman"/>
        </w:rPr>
        <w:t xml:space="preserve"> </w:t>
      </w:r>
      <w:r w:rsidRPr="00CD0EFF">
        <w:rPr>
          <w:rFonts w:ascii="HelveticaNeueLT Pro 55 Roman" w:eastAsia="HelveticaNeueLT Pro 55 Roman" w:hAnsi="HelveticaNeueLT Pro 55 Roman" w:cs="HelveticaNeueLT Pro 55 Roman"/>
        </w:rPr>
        <w:t xml:space="preserve">ensures systematic attention to the health, safety, culture, conduct and wellbeing of the Jane community. </w:t>
      </w:r>
      <w:r w:rsidR="007B0B2C">
        <w:rPr>
          <w:rFonts w:ascii="HelveticaNeueLT Pro 55 Roman" w:eastAsia="HelveticaNeueLT Pro 55 Roman" w:hAnsi="HelveticaNeueLT Pro 55 Roman" w:cs="HelveticaNeueLT Pro 55 Roman"/>
        </w:rPr>
        <w:t>The culture committee represents a</w:t>
      </w:r>
      <w:r w:rsidR="007B0B2C" w:rsidRPr="007B0B2C">
        <w:rPr>
          <w:rFonts w:ascii="HelveticaNeueLT Pro 55 Roman" w:hAnsi="HelveticaNeueLT Pro 55 Roman"/>
        </w:rPr>
        <w:t xml:space="preserve"> clearly defined governance architecture, spanning Council, the Principal, </w:t>
      </w:r>
      <w:r w:rsidR="007B0B2C">
        <w:rPr>
          <w:rFonts w:ascii="HelveticaNeueLT Pro 55 Roman" w:hAnsi="HelveticaNeueLT Pro 55 Roman"/>
        </w:rPr>
        <w:t>the Dean of Students</w:t>
      </w:r>
      <w:r w:rsidR="007B0B2C" w:rsidRPr="007B0B2C">
        <w:rPr>
          <w:rFonts w:ascii="HelveticaNeueLT Pro 55 Roman" w:hAnsi="HelveticaNeueLT Pro 55 Roman"/>
        </w:rPr>
        <w:t>, student leadership roles</w:t>
      </w:r>
      <w:r w:rsidR="007B0B2C">
        <w:rPr>
          <w:rFonts w:ascii="HelveticaNeueLT Pro 55 Roman" w:hAnsi="HelveticaNeueLT Pro 55 Roman"/>
        </w:rPr>
        <w:t xml:space="preserve"> and volunteer students of different backgrounds, genders and identities</w:t>
      </w:r>
      <w:r w:rsidR="007B0B2C">
        <w:t xml:space="preserve">. </w:t>
      </w:r>
      <w:r w:rsidR="007B0B2C" w:rsidRPr="007B0B2C">
        <w:rPr>
          <w:rFonts w:ascii="HelveticaNeueLT Pro 55 Roman" w:hAnsi="HelveticaNeueLT Pro 55 Roman"/>
        </w:rPr>
        <w:t xml:space="preserve">It provides </w:t>
      </w:r>
      <w:r w:rsidR="007B0B2C" w:rsidRPr="007B0B2C">
        <w:rPr>
          <w:rFonts w:ascii="HelveticaNeueLT Pro 55 Roman" w:eastAsia="HelveticaNeueLT Pro 55 Roman" w:hAnsi="HelveticaNeueLT Pro 55 Roman" w:cs="HelveticaNeueLT Pro 55 Roman"/>
        </w:rPr>
        <w:t>cross-College</w:t>
      </w:r>
      <w:r w:rsidRPr="007B0B2C">
        <w:rPr>
          <w:rFonts w:ascii="HelveticaNeueLT Pro 55 Roman" w:eastAsia="HelveticaNeueLT Pro 55 Roman" w:hAnsi="HelveticaNeueLT Pro 55 Roman" w:cs="HelveticaNeueLT Pro 55 Roman"/>
        </w:rPr>
        <w:t xml:space="preserve"> guidance on emerging risks</w:t>
      </w:r>
      <w:r w:rsidR="005A1B87" w:rsidRPr="007B0B2C">
        <w:rPr>
          <w:rFonts w:ascii="HelveticaNeueLT Pro 55 Roman" w:eastAsia="HelveticaNeueLT Pro 55 Roman" w:hAnsi="HelveticaNeueLT Pro 55 Roman" w:cs="HelveticaNeueLT Pro 55 Roman"/>
        </w:rPr>
        <w:t xml:space="preserve">. It also </w:t>
      </w:r>
      <w:r w:rsidRPr="007B0B2C">
        <w:rPr>
          <w:rFonts w:ascii="HelveticaNeueLT Pro 55 Roman" w:eastAsia="HelveticaNeueLT Pro 55 Roman" w:hAnsi="HelveticaNeueLT Pro 55 Roman" w:cs="HelveticaNeueLT Pro 55 Roman"/>
        </w:rPr>
        <w:t>evaluate</w:t>
      </w:r>
      <w:r w:rsidR="005A1B87" w:rsidRPr="007B0B2C">
        <w:rPr>
          <w:rFonts w:ascii="HelveticaNeueLT Pro 55 Roman" w:eastAsia="HelveticaNeueLT Pro 55 Roman" w:hAnsi="HelveticaNeueLT Pro 55 Roman" w:cs="HelveticaNeueLT Pro 55 Roman"/>
        </w:rPr>
        <w:t>s</w:t>
      </w:r>
      <w:r w:rsidRPr="007B0B2C">
        <w:rPr>
          <w:rFonts w:ascii="HelveticaNeueLT Pro 55 Roman" w:eastAsia="HelveticaNeueLT Pro 55 Roman" w:hAnsi="HelveticaNeueLT Pro 55 Roman" w:cs="HelveticaNeueLT Pro 55 Roman"/>
        </w:rPr>
        <w:t xml:space="preserve"> policy implementation, and monitor</w:t>
      </w:r>
      <w:r w:rsidR="005A1B87" w:rsidRPr="007B0B2C">
        <w:rPr>
          <w:rFonts w:ascii="HelveticaNeueLT Pro 55 Roman" w:eastAsia="HelveticaNeueLT Pro 55 Roman" w:hAnsi="HelveticaNeueLT Pro 55 Roman" w:cs="HelveticaNeueLT Pro 55 Roman"/>
        </w:rPr>
        <w:t>s</w:t>
      </w:r>
      <w:r w:rsidRPr="007B0B2C">
        <w:rPr>
          <w:rFonts w:ascii="HelveticaNeueLT Pro 55 Roman" w:eastAsia="HelveticaNeueLT Pro 55 Roman" w:hAnsi="HelveticaNeueLT Pro 55 Roman" w:cs="HelveticaNeueLT Pro 55 Roman"/>
        </w:rPr>
        <w:t xml:space="preserve"> the College’s adherence to national standards, including the National Higher Education Code to Prevent and Respond to Gender-Based Violence.</w:t>
      </w:r>
    </w:p>
    <w:p w14:paraId="1358CB83" w14:textId="761A5516" w:rsidR="494728BF" w:rsidRPr="00CD0EFF" w:rsidRDefault="00CD0EFF" w:rsidP="07E37946">
      <w:pPr>
        <w:pStyle w:val="Heading2"/>
        <w:spacing w:before="299" w:after="299"/>
        <w:rPr>
          <w:color w:val="auto"/>
          <w:sz w:val="22"/>
          <w:szCs w:val="22"/>
        </w:rPr>
      </w:pPr>
      <w:r>
        <w:rPr>
          <w:rFonts w:ascii="HelveticaNeueLT Pro 55 Roman" w:eastAsia="HelveticaNeueLT Pro 55 Roman" w:hAnsi="HelveticaNeueLT Pro 55 Roman" w:cs="HelveticaNeueLT Pro 55 Roman"/>
          <w:color w:val="auto"/>
          <w:sz w:val="22"/>
          <w:szCs w:val="22"/>
        </w:rPr>
        <w:lastRenderedPageBreak/>
        <w:t xml:space="preserve">2.1 </w:t>
      </w:r>
      <w:r w:rsidR="494728BF" w:rsidRPr="00CD0EFF">
        <w:rPr>
          <w:rFonts w:ascii="HelveticaNeueLT Pro 55 Roman" w:eastAsia="HelveticaNeueLT Pro 55 Roman" w:hAnsi="HelveticaNeueLT Pro 55 Roman" w:cs="HelveticaNeueLT Pro 55 Roman"/>
          <w:color w:val="auto"/>
          <w:sz w:val="22"/>
          <w:szCs w:val="22"/>
        </w:rPr>
        <w:t>Previous GBV Prevention and Response Initiatives</w:t>
      </w:r>
    </w:p>
    <w:p w14:paraId="2EAE1C52" w14:textId="3E140EB4" w:rsidR="494728BF" w:rsidRDefault="494728BF" w:rsidP="07E37946">
      <w:pPr>
        <w:spacing w:before="240" w:after="240"/>
      </w:pPr>
      <w:r w:rsidRPr="07E37946">
        <w:rPr>
          <w:rFonts w:ascii="HelveticaNeueLT Pro 55 Roman" w:eastAsia="HelveticaNeueLT Pro 55 Roman" w:hAnsi="HelveticaNeueLT Pro 55 Roman" w:cs="HelveticaNeueLT Pro 55 Roman"/>
        </w:rPr>
        <w:t>Jane College has progressively developed its GBV response and prevention practice through a range of initiatives and reforms over recent years, including:</w:t>
      </w:r>
    </w:p>
    <w:p w14:paraId="5CDD20F1" w14:textId="3720A678" w:rsidR="494728BF" w:rsidRDefault="494728BF" w:rsidP="07E37946">
      <w:pPr>
        <w:pStyle w:val="ListParagraph"/>
        <w:numPr>
          <w:ilvl w:val="0"/>
          <w:numId w:val="2"/>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 xml:space="preserve">Mandatory training for </w:t>
      </w:r>
      <w:r w:rsidR="005A1B87">
        <w:rPr>
          <w:rFonts w:ascii="HelveticaNeueLT Pro 55 Roman" w:eastAsia="HelveticaNeueLT Pro 55 Roman" w:hAnsi="HelveticaNeueLT Pro 55 Roman" w:cs="HelveticaNeueLT Pro 55 Roman"/>
          <w:b/>
          <w:bCs/>
        </w:rPr>
        <w:t xml:space="preserve">staff, </w:t>
      </w:r>
      <w:r w:rsidRPr="07E37946">
        <w:rPr>
          <w:rFonts w:ascii="HelveticaNeueLT Pro 55 Roman" w:eastAsia="HelveticaNeueLT Pro 55 Roman" w:hAnsi="HelveticaNeueLT Pro 55 Roman" w:cs="HelveticaNeueLT Pro 55 Roman"/>
          <w:b/>
          <w:bCs/>
        </w:rPr>
        <w:t>Senior Residents and student leaders</w:t>
      </w:r>
      <w:r w:rsidRPr="07E37946">
        <w:rPr>
          <w:rFonts w:ascii="HelveticaNeueLT Pro 55 Roman" w:eastAsia="HelveticaNeueLT Pro 55 Roman" w:hAnsi="HelveticaNeueLT Pro 55 Roman" w:cs="HelveticaNeueLT Pro 55 Roman"/>
        </w:rPr>
        <w:t xml:space="preserve"> in consent, </w:t>
      </w:r>
      <w:proofErr w:type="gramStart"/>
      <w:r w:rsidRPr="07E37946">
        <w:rPr>
          <w:rFonts w:ascii="HelveticaNeueLT Pro 55 Roman" w:eastAsia="HelveticaNeueLT Pro 55 Roman" w:hAnsi="HelveticaNeueLT Pro 55 Roman" w:cs="HelveticaNeueLT Pro 55 Roman"/>
        </w:rPr>
        <w:t>active by</w:t>
      </w:r>
      <w:r w:rsidR="005A1B87">
        <w:rPr>
          <w:rFonts w:ascii="HelveticaNeueLT Pro 55 Roman" w:eastAsia="HelveticaNeueLT Pro 55 Roman" w:hAnsi="HelveticaNeueLT Pro 55 Roman" w:cs="HelveticaNeueLT Pro 55 Roman"/>
        </w:rPr>
        <w:t>-</w:t>
      </w:r>
      <w:r w:rsidRPr="07E37946">
        <w:rPr>
          <w:rFonts w:ascii="HelveticaNeueLT Pro 55 Roman" w:eastAsia="HelveticaNeueLT Pro 55 Roman" w:hAnsi="HelveticaNeueLT Pro 55 Roman" w:cs="HelveticaNeueLT Pro 55 Roman"/>
        </w:rPr>
        <w:t>standing</w:t>
      </w:r>
      <w:proofErr w:type="gramEnd"/>
      <w:r w:rsidRPr="07E37946">
        <w:rPr>
          <w:rFonts w:ascii="HelveticaNeueLT Pro 55 Roman" w:eastAsia="HelveticaNeueLT Pro 55 Roman" w:hAnsi="HelveticaNeueLT Pro 55 Roman" w:cs="HelveticaNeueLT Pro 55 Roman"/>
        </w:rPr>
        <w:t>, responding to disclosures, professional boundaries, and child safe practice.</w:t>
      </w:r>
    </w:p>
    <w:p w14:paraId="2ACFAAFA" w14:textId="29A2AE7E" w:rsidR="494728BF" w:rsidRDefault="005513AA" w:rsidP="07E37946">
      <w:pPr>
        <w:pStyle w:val="ListParagraph"/>
        <w:numPr>
          <w:ilvl w:val="0"/>
          <w:numId w:val="2"/>
        </w:numPr>
        <w:spacing w:before="240" w:after="240"/>
        <w:rPr>
          <w:rFonts w:ascii="HelveticaNeueLT Pro 55 Roman" w:eastAsia="HelveticaNeueLT Pro 55 Roman" w:hAnsi="HelveticaNeueLT Pro 55 Roman" w:cs="HelveticaNeueLT Pro 55 Roman"/>
        </w:rPr>
      </w:pPr>
      <w:r>
        <w:rPr>
          <w:rFonts w:ascii="HelveticaNeueLT Pro 55 Roman" w:eastAsia="HelveticaNeueLT Pro 55 Roman" w:hAnsi="HelveticaNeueLT Pro 55 Roman" w:cs="HelveticaNeueLT Pro 55 Roman"/>
          <w:b/>
          <w:bCs/>
        </w:rPr>
        <w:t>W</w:t>
      </w:r>
      <w:r w:rsidR="494728BF" w:rsidRPr="07E37946">
        <w:rPr>
          <w:rFonts w:ascii="HelveticaNeueLT Pro 55 Roman" w:eastAsia="HelveticaNeueLT Pro 55 Roman" w:hAnsi="HelveticaNeueLT Pro 55 Roman" w:cs="HelveticaNeueLT Pro 55 Roman"/>
          <w:b/>
          <w:bCs/>
        </w:rPr>
        <w:t xml:space="preserve">ellbeing and safety </w:t>
      </w:r>
      <w:r>
        <w:rPr>
          <w:rFonts w:ascii="HelveticaNeueLT Pro 55 Roman" w:eastAsia="HelveticaNeueLT Pro 55 Roman" w:hAnsi="HelveticaNeueLT Pro 55 Roman" w:cs="HelveticaNeueLT Pro 55 Roman"/>
          <w:b/>
          <w:bCs/>
        </w:rPr>
        <w:t>actions</w:t>
      </w:r>
      <w:r w:rsidR="494728BF" w:rsidRPr="07E37946">
        <w:rPr>
          <w:rFonts w:ascii="HelveticaNeueLT Pro 55 Roman" w:eastAsia="HelveticaNeueLT Pro 55 Roman" w:hAnsi="HelveticaNeueLT Pro 55 Roman" w:cs="HelveticaNeueLT Pro 55 Roman"/>
        </w:rPr>
        <w:t xml:space="preserve"> focused on respect, consent, alcohol harm minimisation, and safe celebrations during Welcome Week and key student events.</w:t>
      </w:r>
    </w:p>
    <w:p w14:paraId="683A539C" w14:textId="00494174" w:rsidR="494728BF" w:rsidRDefault="494728BF" w:rsidP="07E37946">
      <w:pPr>
        <w:pStyle w:val="ListParagraph"/>
        <w:numPr>
          <w:ilvl w:val="0"/>
          <w:numId w:val="2"/>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Strengthened reporting pathways</w:t>
      </w:r>
      <w:r w:rsidRPr="07E37946">
        <w:rPr>
          <w:rFonts w:ascii="HelveticaNeueLT Pro 55 Roman" w:eastAsia="HelveticaNeueLT Pro 55 Roman" w:hAnsi="HelveticaNeueLT Pro 55 Roman" w:cs="HelveticaNeueLT Pro 55 Roman"/>
        </w:rPr>
        <w:t xml:space="preserve"> including confidential student support </w:t>
      </w:r>
      <w:proofErr w:type="gramStart"/>
      <w:r w:rsidRPr="07E37946">
        <w:rPr>
          <w:rFonts w:ascii="HelveticaNeueLT Pro 55 Roman" w:eastAsia="HelveticaNeueLT Pro 55 Roman" w:hAnsi="HelveticaNeueLT Pro 55 Roman" w:cs="HelveticaNeueLT Pro 55 Roman"/>
        </w:rPr>
        <w:t>channels</w:t>
      </w:r>
      <w:proofErr w:type="gramEnd"/>
      <w:r w:rsidR="007B0B2C">
        <w:rPr>
          <w:rFonts w:ascii="HelveticaNeueLT Pro 55 Roman" w:eastAsia="HelveticaNeueLT Pro 55 Roman" w:hAnsi="HelveticaNeueLT Pro 55 Roman" w:cs="HelveticaNeueLT Pro 55 Roman"/>
        </w:rPr>
        <w:t xml:space="preserve"> most notably the online reporting portal </w:t>
      </w:r>
      <w:proofErr w:type="spellStart"/>
      <w:r w:rsidR="007B0B2C">
        <w:rPr>
          <w:rFonts w:ascii="HelveticaNeueLT Pro 55 Roman" w:eastAsia="HelveticaNeueLT Pro 55 Roman" w:hAnsi="HelveticaNeueLT Pro 55 Roman" w:cs="HelveticaNeueLT Pro 55 Roman"/>
        </w:rPr>
        <w:t>RespectX</w:t>
      </w:r>
      <w:proofErr w:type="spellEnd"/>
      <w:r w:rsidR="007B0B2C">
        <w:rPr>
          <w:rFonts w:ascii="HelveticaNeueLT Pro 55 Roman" w:eastAsia="HelveticaNeueLT Pro 55 Roman" w:hAnsi="HelveticaNeueLT Pro 55 Roman" w:cs="HelveticaNeueLT Pro 55 Roman"/>
        </w:rPr>
        <w:t xml:space="preserve">).  The College has also developed </w:t>
      </w:r>
      <w:r w:rsidRPr="07E37946">
        <w:rPr>
          <w:rFonts w:ascii="HelveticaNeueLT Pro 55 Roman" w:eastAsia="HelveticaNeueLT Pro 55 Roman" w:hAnsi="HelveticaNeueLT Pro 55 Roman" w:cs="HelveticaNeueLT Pro 55 Roman"/>
        </w:rPr>
        <w:t>clearer escalation processes</w:t>
      </w:r>
      <w:r w:rsidR="007B0B2C">
        <w:rPr>
          <w:rFonts w:ascii="HelveticaNeueLT Pro 55 Roman" w:eastAsia="HelveticaNeueLT Pro 55 Roman" w:hAnsi="HelveticaNeueLT Pro 55 Roman" w:cs="HelveticaNeueLT Pro 55 Roman"/>
        </w:rPr>
        <w:t xml:space="preserve"> with </w:t>
      </w:r>
      <w:r w:rsidRPr="07E37946">
        <w:rPr>
          <w:rFonts w:ascii="HelveticaNeueLT Pro 55 Roman" w:eastAsia="HelveticaNeueLT Pro 55 Roman" w:hAnsi="HelveticaNeueLT Pro 55 Roman" w:cs="HelveticaNeueLT Pro 55 Roman"/>
        </w:rPr>
        <w:t>a renewed emphasis on early intervention.</w:t>
      </w:r>
    </w:p>
    <w:p w14:paraId="19094002" w14:textId="5A5E2C84" w:rsidR="494728BF" w:rsidRDefault="494728BF" w:rsidP="07E37946">
      <w:pPr>
        <w:pStyle w:val="ListParagraph"/>
        <w:numPr>
          <w:ilvl w:val="0"/>
          <w:numId w:val="2"/>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Introduction of professional boundaries training and policy</w:t>
      </w:r>
      <w:r w:rsidRPr="07E37946">
        <w:rPr>
          <w:rFonts w:ascii="HelveticaNeueLT Pro 55 Roman" w:eastAsia="HelveticaNeueLT Pro 55 Roman" w:hAnsi="HelveticaNeueLT Pro 55 Roman" w:cs="HelveticaNeueLT Pro 55 Roman"/>
        </w:rPr>
        <w:t xml:space="preserve">, helping staff and student leaders manage </w:t>
      </w:r>
      <w:r w:rsidR="007B0B2C">
        <w:rPr>
          <w:rFonts w:ascii="HelveticaNeueLT Pro 55 Roman" w:eastAsia="HelveticaNeueLT Pro 55 Roman" w:hAnsi="HelveticaNeueLT Pro 55 Roman" w:cs="HelveticaNeueLT Pro 55 Roman"/>
        </w:rPr>
        <w:t>boundaries</w:t>
      </w:r>
      <w:r w:rsidRPr="07E37946">
        <w:rPr>
          <w:rFonts w:ascii="HelveticaNeueLT Pro 55 Roman" w:eastAsia="HelveticaNeueLT Pro 55 Roman" w:hAnsi="HelveticaNeueLT Pro 55 Roman" w:cs="HelveticaNeueLT Pro 55 Roman"/>
        </w:rPr>
        <w:t xml:space="preserve"> and maintain safe, respectful interactions.</w:t>
      </w:r>
    </w:p>
    <w:p w14:paraId="0BE32E9A" w14:textId="3F0E8F6B" w:rsidR="494728BF" w:rsidRDefault="494728BF" w:rsidP="07E37946">
      <w:pPr>
        <w:pStyle w:val="ListParagraph"/>
        <w:numPr>
          <w:ilvl w:val="0"/>
          <w:numId w:val="2"/>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 xml:space="preserve">Strengthened disciplinary and </w:t>
      </w:r>
      <w:proofErr w:type="spellStart"/>
      <w:r w:rsidRPr="07E37946">
        <w:rPr>
          <w:rFonts w:ascii="HelveticaNeueLT Pro 55 Roman" w:eastAsia="HelveticaNeueLT Pro 55 Roman" w:hAnsi="HelveticaNeueLT Pro 55 Roman" w:cs="HelveticaNeueLT Pro 55 Roman"/>
          <w:b/>
          <w:bCs/>
        </w:rPr>
        <w:t>behavioural</w:t>
      </w:r>
      <w:proofErr w:type="spellEnd"/>
      <w:r w:rsidRPr="07E37946">
        <w:rPr>
          <w:rFonts w:ascii="HelveticaNeueLT Pro 55 Roman" w:eastAsia="HelveticaNeueLT Pro 55 Roman" w:hAnsi="HelveticaNeueLT Pro 55 Roman" w:cs="HelveticaNeueLT Pro 55 Roman"/>
          <w:b/>
          <w:bCs/>
        </w:rPr>
        <w:t xml:space="preserve"> management processes</w:t>
      </w:r>
      <w:r w:rsidRPr="07E37946">
        <w:rPr>
          <w:rFonts w:ascii="HelveticaNeueLT Pro 55 Roman" w:eastAsia="HelveticaNeueLT Pro 55 Roman" w:hAnsi="HelveticaNeueLT Pro 55 Roman" w:cs="HelveticaNeueLT Pro 55 Roman"/>
        </w:rPr>
        <w:t>, including clearer documentation, structured communication, and joint management–student leader engagement.</w:t>
      </w:r>
    </w:p>
    <w:p w14:paraId="63599D58" w14:textId="416525C2" w:rsidR="494728BF" w:rsidRPr="003D64F4" w:rsidRDefault="494728BF" w:rsidP="07E37946">
      <w:pPr>
        <w:pStyle w:val="ListParagraph"/>
        <w:numPr>
          <w:ilvl w:val="0"/>
          <w:numId w:val="2"/>
        </w:numPr>
        <w:shd w:val="clear" w:color="auto" w:fill="FFFFFF"/>
        <w:spacing w:before="240" w:after="240" w:line="240" w:lineRule="auto"/>
        <w:jc w:val="both"/>
        <w:outlineLvl w:val="0"/>
        <w:rPr>
          <w:rFonts w:ascii="HelveticaNeueLT Pro 55 Roman" w:eastAsia="HelveticaNeueLT Pro 55 Roman" w:hAnsi="HelveticaNeueLT Pro 55 Roman" w:cs="HelveticaNeueLT Pro 55 Roman"/>
        </w:rPr>
      </w:pPr>
      <w:r w:rsidRPr="003D64F4">
        <w:rPr>
          <w:rFonts w:ascii="HelveticaNeueLT Pro 55 Roman" w:eastAsia="HelveticaNeueLT Pro 55 Roman" w:hAnsi="HelveticaNeueLT Pro 55 Roman" w:cs="HelveticaNeueLT Pro 55 Roman"/>
          <w:b/>
          <w:bCs/>
        </w:rPr>
        <w:t>Greater integration of international under-18 student support requirements</w:t>
      </w:r>
      <w:r w:rsidRPr="003D64F4">
        <w:rPr>
          <w:rFonts w:ascii="HelveticaNeueLT Pro 55 Roman" w:eastAsia="HelveticaNeueLT Pro 55 Roman" w:hAnsi="HelveticaNeueLT Pro 55 Roman" w:cs="HelveticaNeueLT Pro 55 Roman"/>
        </w:rPr>
        <w:t xml:space="preserve">, recognising their heightened vulnerabilities and </w:t>
      </w:r>
      <w:r w:rsidR="003A0CF3" w:rsidRPr="003D64F4">
        <w:rPr>
          <w:rFonts w:ascii="HelveticaNeueLT Pro 55 Roman" w:eastAsia="HelveticaNeueLT Pro 55 Roman" w:hAnsi="HelveticaNeueLT Pro 55 Roman" w:cs="HelveticaNeueLT Pro 55 Roman"/>
        </w:rPr>
        <w:t xml:space="preserve">the College’s </w:t>
      </w:r>
      <w:r w:rsidRPr="003D64F4">
        <w:rPr>
          <w:rFonts w:ascii="HelveticaNeueLT Pro 55 Roman" w:eastAsia="HelveticaNeueLT Pro 55 Roman" w:hAnsi="HelveticaNeueLT Pro 55 Roman" w:cs="HelveticaNeueLT Pro 55 Roman"/>
        </w:rPr>
        <w:t xml:space="preserve">obligations under </w:t>
      </w:r>
      <w:r w:rsidR="003D64F4" w:rsidRPr="003D64F4">
        <w:rPr>
          <w:rFonts w:ascii="HelveticaNeueLT Pro 55 Roman" w:eastAsia="HelveticaNeueLT Pro 55 Roman" w:hAnsi="HelveticaNeueLT Pro 55 Roman" w:cs="HelveticaNeueLT Pro 55 Roman"/>
        </w:rPr>
        <w:t xml:space="preserve">the </w:t>
      </w:r>
      <w:r w:rsidR="003D64F4" w:rsidRPr="003D64F4">
        <w:rPr>
          <w:rFonts w:ascii="HelveticaNeueLT Pro 55 Roman" w:hAnsi="HelveticaNeueLT Pro 55 Roman" w:cs="Poppins Medium"/>
          <w:i/>
          <w:iCs/>
        </w:rPr>
        <w:t xml:space="preserve">Education Services for Overseas Students (ESOS) Act 2000 </w:t>
      </w:r>
      <w:r w:rsidR="003D64F4" w:rsidRPr="003D64F4">
        <w:rPr>
          <w:rFonts w:ascii="HelveticaNeueLT Pro 55 Roman" w:hAnsi="HelveticaNeueLT Pro 55 Roman" w:cs="Poppins Medium"/>
        </w:rPr>
        <w:t>(Commonwealth)</w:t>
      </w:r>
      <w:r w:rsidR="003D64F4" w:rsidRPr="003D64F4">
        <w:rPr>
          <w:rFonts w:ascii="HelveticaNeueLT Pro 55 Roman" w:hAnsi="HelveticaNeueLT Pro 55 Roman" w:cs="Poppins Medium"/>
          <w:i/>
          <w:iCs/>
        </w:rPr>
        <w:t xml:space="preserve"> and the </w:t>
      </w:r>
      <w:r w:rsidR="003D64F4" w:rsidRPr="003D64F4">
        <w:rPr>
          <w:rFonts w:ascii="HelveticaNeueLT Pro 55 Roman" w:eastAsia="Times New Roman" w:hAnsi="HelveticaNeueLT Pro 55 Roman" w:cs="Poppins Medium"/>
          <w:i/>
          <w:iCs/>
          <w:color w:val="000000"/>
          <w:kern w:val="36"/>
          <w:lang w:eastAsia="en-AU"/>
        </w:rPr>
        <w:t xml:space="preserve">Child and Youth Safe </w:t>
      </w:r>
      <w:proofErr w:type="spellStart"/>
      <w:r w:rsidR="003D64F4" w:rsidRPr="003D64F4">
        <w:rPr>
          <w:rFonts w:ascii="HelveticaNeueLT Pro 55 Roman" w:eastAsia="Times New Roman" w:hAnsi="HelveticaNeueLT Pro 55 Roman" w:cs="Poppins Medium"/>
          <w:i/>
          <w:iCs/>
          <w:color w:val="000000"/>
          <w:kern w:val="36"/>
          <w:lang w:eastAsia="en-AU"/>
        </w:rPr>
        <w:t>Organisations</w:t>
      </w:r>
      <w:proofErr w:type="spellEnd"/>
      <w:r w:rsidR="003D64F4" w:rsidRPr="003D64F4">
        <w:rPr>
          <w:rFonts w:ascii="HelveticaNeueLT Pro 55 Roman" w:eastAsia="Times New Roman" w:hAnsi="HelveticaNeueLT Pro 55 Roman" w:cs="Poppins Medium"/>
          <w:i/>
          <w:iCs/>
          <w:color w:val="000000"/>
          <w:kern w:val="36"/>
          <w:lang w:eastAsia="en-AU"/>
        </w:rPr>
        <w:t xml:space="preserve"> Act 2023 </w:t>
      </w:r>
      <w:r w:rsidR="003D64F4" w:rsidRPr="003D64F4">
        <w:rPr>
          <w:rFonts w:ascii="HelveticaNeueLT Pro 55 Roman" w:eastAsia="Times New Roman" w:hAnsi="HelveticaNeueLT Pro 55 Roman" w:cs="Poppins Medium"/>
          <w:color w:val="000000"/>
          <w:kern w:val="36"/>
          <w:lang w:eastAsia="en-AU"/>
        </w:rPr>
        <w:t xml:space="preserve">(State). </w:t>
      </w:r>
    </w:p>
    <w:p w14:paraId="3C2908C2" w14:textId="0D168A7E" w:rsidR="494728BF" w:rsidRDefault="494728BF" w:rsidP="07E37946">
      <w:pPr>
        <w:pStyle w:val="ListParagraph"/>
        <w:numPr>
          <w:ilvl w:val="0"/>
          <w:numId w:val="2"/>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Alignment of key policies</w:t>
      </w:r>
      <w:r w:rsidR="003476EE">
        <w:rPr>
          <w:rFonts w:ascii="HelveticaNeueLT Pro 55 Roman" w:eastAsia="HelveticaNeueLT Pro 55 Roman" w:hAnsi="HelveticaNeueLT Pro 55 Roman" w:cs="HelveticaNeueLT Pro 55 Roman"/>
        </w:rPr>
        <w:t xml:space="preserve"> specifically </w:t>
      </w:r>
      <w:r w:rsidRPr="07E37946">
        <w:rPr>
          <w:rFonts w:ascii="HelveticaNeueLT Pro 55 Roman" w:eastAsia="HelveticaNeueLT Pro 55 Roman" w:hAnsi="HelveticaNeueLT Pro 55 Roman" w:cs="HelveticaNeueLT Pro 55 Roman"/>
        </w:rPr>
        <w:t>Child Safe, Inclusion and Diversity, Code of Conduct</w:t>
      </w:r>
      <w:r w:rsidR="007B0B2C">
        <w:rPr>
          <w:rFonts w:ascii="HelveticaNeueLT Pro 55 Roman" w:eastAsia="HelveticaNeueLT Pro 55 Roman" w:hAnsi="HelveticaNeueLT Pro 55 Roman" w:cs="HelveticaNeueLT Pro 55 Roman"/>
        </w:rPr>
        <w:t>, Gender Based Violence, Alcohol consumption and the College Obligations and Terms of Residence (COTR</w:t>
      </w:r>
      <w:r w:rsidR="003476EE">
        <w:rPr>
          <w:rFonts w:ascii="HelveticaNeueLT Pro 55 Roman" w:eastAsia="HelveticaNeueLT Pro 55 Roman" w:hAnsi="HelveticaNeueLT Pro 55 Roman" w:cs="HelveticaNeueLT Pro 55 Roman"/>
        </w:rPr>
        <w:t xml:space="preserve">), </w:t>
      </w:r>
      <w:r w:rsidRPr="07E37946">
        <w:rPr>
          <w:rFonts w:ascii="HelveticaNeueLT Pro 55 Roman" w:eastAsia="HelveticaNeueLT Pro 55 Roman" w:hAnsi="HelveticaNeueLT Pro 55 Roman" w:cs="HelveticaNeueLT Pro 55 Roman"/>
        </w:rPr>
        <w:t>to reinforce expectations around safety, respect and accountability.</w:t>
      </w:r>
    </w:p>
    <w:p w14:paraId="6466432A" w14:textId="79143DE6" w:rsidR="00DA5D8E" w:rsidRPr="00DA5D8E" w:rsidRDefault="00DA5D8E" w:rsidP="07E37946">
      <w:pPr>
        <w:pStyle w:val="ListParagraph"/>
        <w:numPr>
          <w:ilvl w:val="0"/>
          <w:numId w:val="2"/>
        </w:numPr>
        <w:spacing w:before="240" w:after="240"/>
        <w:rPr>
          <w:rFonts w:ascii="HelveticaNeueLT Pro 55 Roman" w:eastAsia="HelveticaNeueLT Pro 55 Roman" w:hAnsi="HelveticaNeueLT Pro 55 Roman" w:cs="HelveticaNeueLT Pro 55 Roman"/>
        </w:rPr>
      </w:pPr>
      <w:r w:rsidRPr="00DA5D8E">
        <w:rPr>
          <w:rStyle w:val="Strong"/>
          <w:rFonts w:ascii="HelveticaNeueLT Pro 55 Roman" w:hAnsi="HelveticaNeueLT Pro 55 Roman"/>
        </w:rPr>
        <w:t xml:space="preserve">Intentional action to dismantle fraternity/sorority-style </w:t>
      </w:r>
      <w:proofErr w:type="spellStart"/>
      <w:r w:rsidRPr="00DA5D8E">
        <w:rPr>
          <w:rStyle w:val="Strong"/>
          <w:rFonts w:ascii="HelveticaNeueLT Pro 55 Roman" w:hAnsi="HelveticaNeueLT Pro 55 Roman"/>
        </w:rPr>
        <w:t>behaviours</w:t>
      </w:r>
      <w:proofErr w:type="spellEnd"/>
      <w:r w:rsidRPr="00DA5D8E">
        <w:rPr>
          <w:rStyle w:val="Strong"/>
          <w:rFonts w:ascii="HelveticaNeueLT Pro 55 Roman" w:hAnsi="HelveticaNeueLT Pro 55 Roman"/>
        </w:rPr>
        <w:t xml:space="preserve"> and manage the influence of “old boys” and “old girls” culture</w:t>
      </w:r>
      <w:r w:rsidRPr="00DA5D8E">
        <w:rPr>
          <w:rFonts w:ascii="HelveticaNeueLT Pro 55 Roman" w:hAnsi="HelveticaNeueLT Pro 55 Roman"/>
        </w:rPr>
        <w:t>, including reforming traditions that reinforced hierarchy or gendered power imbalances and clarifying that alumni involvement must suppor</w:t>
      </w:r>
      <w:r>
        <w:rPr>
          <w:rFonts w:ascii="HelveticaNeueLT Pro 55 Roman" w:hAnsi="HelveticaNeueLT Pro 55 Roman"/>
        </w:rPr>
        <w:t xml:space="preserve">t, </w:t>
      </w:r>
      <w:r w:rsidRPr="00DA5D8E">
        <w:rPr>
          <w:rFonts w:ascii="HelveticaNeueLT Pro 55 Roman" w:hAnsi="HelveticaNeueLT Pro 55 Roman"/>
        </w:rPr>
        <w:t>not shape</w:t>
      </w:r>
      <w:r>
        <w:rPr>
          <w:rFonts w:ascii="HelveticaNeueLT Pro 55 Roman" w:hAnsi="HelveticaNeueLT Pro 55 Roman"/>
        </w:rPr>
        <w:t>, st</w:t>
      </w:r>
      <w:r w:rsidRPr="00DA5D8E">
        <w:rPr>
          <w:rFonts w:ascii="HelveticaNeueLT Pro 55 Roman" w:hAnsi="HelveticaNeueLT Pro 55 Roman"/>
        </w:rPr>
        <w:t>udent leadership and culture at Jane.</w:t>
      </w:r>
    </w:p>
    <w:p w14:paraId="0A88DBF1" w14:textId="788710FD" w:rsidR="494728BF" w:rsidRPr="00CD0EFF" w:rsidRDefault="00CD0EFF" w:rsidP="07E37946">
      <w:pPr>
        <w:pStyle w:val="Heading2"/>
        <w:spacing w:before="299" w:after="299"/>
        <w:rPr>
          <w:color w:val="auto"/>
          <w:sz w:val="22"/>
          <w:szCs w:val="22"/>
        </w:rPr>
      </w:pPr>
      <w:r w:rsidRPr="00CD0EFF">
        <w:rPr>
          <w:rFonts w:ascii="HelveticaNeueLT Pro 55 Roman" w:eastAsia="HelveticaNeueLT Pro 55 Roman" w:hAnsi="HelveticaNeueLT Pro 55 Roman" w:cs="HelveticaNeueLT Pro 55 Roman"/>
          <w:color w:val="auto"/>
          <w:sz w:val="22"/>
          <w:szCs w:val="22"/>
        </w:rPr>
        <w:t xml:space="preserve">2.2 </w:t>
      </w:r>
      <w:r w:rsidR="494728BF" w:rsidRPr="00CD0EFF">
        <w:rPr>
          <w:rFonts w:ascii="HelveticaNeueLT Pro 55 Roman" w:eastAsia="HelveticaNeueLT Pro 55 Roman" w:hAnsi="HelveticaNeueLT Pro 55 Roman" w:cs="HelveticaNeueLT Pro 55 Roman"/>
          <w:color w:val="auto"/>
          <w:sz w:val="22"/>
          <w:szCs w:val="22"/>
        </w:rPr>
        <w:t xml:space="preserve">Lessons Learned to Inform the New GBV </w:t>
      </w:r>
      <w:r>
        <w:rPr>
          <w:rFonts w:ascii="HelveticaNeueLT Pro 55 Roman" w:eastAsia="HelveticaNeueLT Pro 55 Roman" w:hAnsi="HelveticaNeueLT Pro 55 Roman" w:cs="HelveticaNeueLT Pro 55 Roman"/>
          <w:color w:val="auto"/>
          <w:sz w:val="22"/>
          <w:szCs w:val="22"/>
        </w:rPr>
        <w:t xml:space="preserve">Response and Prevention </w:t>
      </w:r>
      <w:r w:rsidR="494728BF" w:rsidRPr="00CD0EFF">
        <w:rPr>
          <w:rFonts w:ascii="HelveticaNeueLT Pro 55 Roman" w:eastAsia="HelveticaNeueLT Pro 55 Roman" w:hAnsi="HelveticaNeueLT Pro 55 Roman" w:cs="HelveticaNeueLT Pro 55 Roman"/>
          <w:color w:val="auto"/>
          <w:sz w:val="22"/>
          <w:szCs w:val="22"/>
        </w:rPr>
        <w:t>Plan</w:t>
      </w:r>
    </w:p>
    <w:p w14:paraId="2747CE81" w14:textId="69009518" w:rsidR="494728BF" w:rsidRDefault="494728BF" w:rsidP="07E37946">
      <w:pPr>
        <w:spacing w:before="240" w:after="240"/>
      </w:pPr>
      <w:r w:rsidRPr="07E37946">
        <w:rPr>
          <w:rFonts w:ascii="HelveticaNeueLT Pro 55 Roman" w:eastAsia="HelveticaNeueLT Pro 55 Roman" w:hAnsi="HelveticaNeueLT Pro 55 Roman" w:cs="HelveticaNeueLT Pro 55 Roman"/>
        </w:rPr>
        <w:t>The College’s previous efforts have highlighted several key lessons, which shape the design of the current whole-of-organisation GBV Prevention and Response Plan and Outcomes Framework:</w:t>
      </w:r>
    </w:p>
    <w:p w14:paraId="1B549A5C" w14:textId="6926CB51" w:rsidR="494728BF" w:rsidRDefault="494728BF" w:rsidP="07E37946">
      <w:pPr>
        <w:pStyle w:val="ListParagraph"/>
        <w:numPr>
          <w:ilvl w:val="0"/>
          <w:numId w:val="1"/>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Culture-change requires shared ownership</w:t>
      </w:r>
      <w:r w:rsidRPr="07E37946">
        <w:rPr>
          <w:rFonts w:ascii="HelveticaNeueLT Pro 55 Roman" w:eastAsia="HelveticaNeueLT Pro 55 Roman" w:hAnsi="HelveticaNeueLT Pro 55 Roman" w:cs="HelveticaNeueLT Pro 55 Roman"/>
        </w:rPr>
        <w:t>: Genuine progress occurs when staff, Council and students work together through structured governance such as the College Culture Committee.</w:t>
      </w:r>
    </w:p>
    <w:p w14:paraId="170FBE28" w14:textId="1DBD1020" w:rsidR="494728BF" w:rsidRDefault="494728BF" w:rsidP="07E37946">
      <w:pPr>
        <w:pStyle w:val="ListParagraph"/>
        <w:numPr>
          <w:ilvl w:val="0"/>
          <w:numId w:val="1"/>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lastRenderedPageBreak/>
        <w:t>Clarity, consistency and transparency are essential</w:t>
      </w:r>
      <w:r w:rsidRPr="07E37946">
        <w:rPr>
          <w:rFonts w:ascii="HelveticaNeueLT Pro 55 Roman" w:eastAsia="HelveticaNeueLT Pro 55 Roman" w:hAnsi="HelveticaNeueLT Pro 55 Roman" w:cs="HelveticaNeueLT Pro 55 Roman"/>
        </w:rPr>
        <w:t>: Students respond best to clear expectations, simple reporting pathways, and consistent follow-through on consequences.</w:t>
      </w:r>
    </w:p>
    <w:p w14:paraId="304D26CB" w14:textId="1897A6FB" w:rsidR="494728BF" w:rsidRDefault="494728BF" w:rsidP="07E37946">
      <w:pPr>
        <w:pStyle w:val="ListParagraph"/>
        <w:numPr>
          <w:ilvl w:val="0"/>
          <w:numId w:val="1"/>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Training must be immersive, repeated and role-specific</w:t>
      </w:r>
      <w:r w:rsidRPr="07E37946">
        <w:rPr>
          <w:rFonts w:ascii="HelveticaNeueLT Pro 55 Roman" w:eastAsia="HelveticaNeueLT Pro 55 Roman" w:hAnsi="HelveticaNeueLT Pro 55 Roman" w:cs="HelveticaNeueLT Pro 55 Roman"/>
        </w:rPr>
        <w:t>: Annual and mid-year training refreshers, practical scenarios, and specific modules for SRs, SCC leaders and staff are essential.</w:t>
      </w:r>
    </w:p>
    <w:p w14:paraId="355DF0AA" w14:textId="27AD6BAC" w:rsidR="494728BF" w:rsidRDefault="494728BF" w:rsidP="07E37946">
      <w:pPr>
        <w:pStyle w:val="ListParagraph"/>
        <w:numPr>
          <w:ilvl w:val="0"/>
          <w:numId w:val="1"/>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Student safety is strengthened through proactive, rather than reactive, approaches</w:t>
      </w:r>
      <w:r w:rsidRPr="07E37946">
        <w:rPr>
          <w:rFonts w:ascii="HelveticaNeueLT Pro 55 Roman" w:eastAsia="HelveticaNeueLT Pro 55 Roman" w:hAnsi="HelveticaNeueLT Pro 55 Roman" w:cs="HelveticaNeueLT Pro 55 Roman"/>
        </w:rPr>
        <w:t>: Early interventions, visible leadership alignment, and coordinated pastoral care reduce escalation.</w:t>
      </w:r>
    </w:p>
    <w:p w14:paraId="6DAE6C0E" w14:textId="13B85A56" w:rsidR="494728BF" w:rsidRDefault="494728BF" w:rsidP="07E37946">
      <w:pPr>
        <w:pStyle w:val="ListParagraph"/>
        <w:numPr>
          <w:ilvl w:val="0"/>
          <w:numId w:val="1"/>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The College must be intentional about the experiences of diverse groups</w:t>
      </w:r>
      <w:r w:rsidRPr="07E37946">
        <w:rPr>
          <w:rFonts w:ascii="HelveticaNeueLT Pro 55 Roman" w:eastAsia="HelveticaNeueLT Pro 55 Roman" w:hAnsi="HelveticaNeueLT Pro 55 Roman" w:cs="HelveticaNeueLT Pro 55 Roman"/>
        </w:rPr>
        <w:t>, including international students, under-18s,</w:t>
      </w:r>
      <w:r w:rsidR="00022AF3">
        <w:rPr>
          <w:rFonts w:ascii="HelveticaNeueLT Pro 55 Roman" w:eastAsia="HelveticaNeueLT Pro 55 Roman" w:hAnsi="HelveticaNeueLT Pro 55 Roman" w:cs="HelveticaNeueLT Pro 55 Roman"/>
        </w:rPr>
        <w:t xml:space="preserve"> ABTSI students</w:t>
      </w:r>
      <w:r w:rsidRPr="07E37946">
        <w:rPr>
          <w:rFonts w:ascii="HelveticaNeueLT Pro 55 Roman" w:eastAsia="HelveticaNeueLT Pro 55 Roman" w:hAnsi="HelveticaNeueLT Pro 55 Roman" w:cs="HelveticaNeueLT Pro 55 Roman"/>
        </w:rPr>
        <w:t xml:space="preserve"> and those who identify as LGBTQIA+.</w:t>
      </w:r>
    </w:p>
    <w:p w14:paraId="7C4455A8" w14:textId="344DEB99" w:rsidR="494728BF" w:rsidRDefault="494728BF" w:rsidP="07E37946">
      <w:pPr>
        <w:pStyle w:val="ListParagraph"/>
        <w:numPr>
          <w:ilvl w:val="0"/>
          <w:numId w:val="1"/>
        </w:numPr>
        <w:spacing w:before="240" w:after="240"/>
        <w:rPr>
          <w:rFonts w:ascii="HelveticaNeueLT Pro 55 Roman" w:eastAsia="HelveticaNeueLT Pro 55 Roman" w:hAnsi="HelveticaNeueLT Pro 55 Roman" w:cs="HelveticaNeueLT Pro 55 Roman"/>
        </w:rPr>
      </w:pPr>
      <w:r w:rsidRPr="07E37946">
        <w:rPr>
          <w:rFonts w:ascii="HelveticaNeueLT Pro 55 Roman" w:eastAsia="HelveticaNeueLT Pro 55 Roman" w:hAnsi="HelveticaNeueLT Pro 55 Roman" w:cs="HelveticaNeueLT Pro 55 Roman"/>
          <w:b/>
          <w:bCs/>
        </w:rPr>
        <w:t>Embedding GBV prevention into everyday operations is critical</w:t>
      </w:r>
      <w:r w:rsidRPr="07E37946">
        <w:rPr>
          <w:rFonts w:ascii="HelveticaNeueLT Pro 55 Roman" w:eastAsia="HelveticaNeueLT Pro 55 Roman" w:hAnsi="HelveticaNeueLT Pro 55 Roman" w:cs="HelveticaNeueLT Pro 55 Roman"/>
        </w:rPr>
        <w:t>: Safety and respect must be visible in orientation, community standards, staff supervision, facilities management, event approvals, and leadership practice.</w:t>
      </w:r>
    </w:p>
    <w:p w14:paraId="429A8250" w14:textId="77777777" w:rsidR="00DA5D8E" w:rsidRPr="00DA5D8E" w:rsidRDefault="494728BF" w:rsidP="00DA5D8E">
      <w:pPr>
        <w:pStyle w:val="ListParagraph"/>
        <w:numPr>
          <w:ilvl w:val="0"/>
          <w:numId w:val="1"/>
        </w:numPr>
        <w:spacing w:before="240" w:after="240"/>
        <w:rPr>
          <w:rFonts w:ascii="HelveticaNeueLT Pro 55 Roman" w:eastAsia="Times New Roman" w:hAnsi="HelveticaNeueLT Pro 55 Roman"/>
        </w:rPr>
      </w:pPr>
      <w:r w:rsidRPr="00DA5D8E">
        <w:rPr>
          <w:rFonts w:ascii="HelveticaNeueLT Pro 55 Roman" w:eastAsia="HelveticaNeueLT Pro 55 Roman" w:hAnsi="HelveticaNeueLT Pro 55 Roman" w:cs="HelveticaNeueLT Pro 55 Roman"/>
          <w:b/>
          <w:bCs/>
        </w:rPr>
        <w:t>Restorative practices and trauma-informed approaches need careful, skilled application</w:t>
      </w:r>
      <w:r w:rsidRPr="00DA5D8E">
        <w:rPr>
          <w:rFonts w:ascii="HelveticaNeueLT Pro 55 Roman" w:eastAsia="HelveticaNeueLT Pro 55 Roman" w:hAnsi="HelveticaNeueLT Pro 55 Roman" w:cs="HelveticaNeueLT Pro 55 Roman"/>
        </w:rPr>
        <w:t>: Staff require ongoing support to balance fairness, compassion, and accountability.</w:t>
      </w:r>
    </w:p>
    <w:p w14:paraId="5DB963BB" w14:textId="77777777" w:rsidR="00DA5D8E" w:rsidRDefault="00DA5D8E" w:rsidP="00DA5D8E">
      <w:pPr>
        <w:pStyle w:val="ListParagraph"/>
        <w:numPr>
          <w:ilvl w:val="0"/>
          <w:numId w:val="1"/>
        </w:numPr>
        <w:spacing w:before="240" w:after="240"/>
        <w:rPr>
          <w:rFonts w:ascii="HelveticaNeueLT Pro 55 Roman" w:hAnsi="HelveticaNeueLT Pro 55 Roman"/>
        </w:rPr>
      </w:pPr>
      <w:r w:rsidRPr="00DA5D8E">
        <w:rPr>
          <w:rStyle w:val="Strong"/>
          <w:rFonts w:ascii="HelveticaNeueLT Pro 55 Roman" w:hAnsi="HelveticaNeueLT Pro 55 Roman"/>
        </w:rPr>
        <w:t>Traditions are not neutral:</w:t>
      </w:r>
      <w:r w:rsidRPr="00DA5D8E">
        <w:rPr>
          <w:rFonts w:ascii="HelveticaNeueLT Pro 55 Roman" w:hAnsi="HelveticaNeueLT Pro 55 Roman"/>
        </w:rPr>
        <w:t xml:space="preserve"> Unexamined traditions and informal power structures can reinforce gendered hierarchies, exclusion and silence, increasing GBV risk if they are not actively governed.</w:t>
      </w:r>
    </w:p>
    <w:p w14:paraId="1228B6BB" w14:textId="77777777" w:rsidR="00DA5D8E" w:rsidRDefault="00DA5D8E" w:rsidP="00DA5D8E">
      <w:pPr>
        <w:pStyle w:val="ListParagraph"/>
        <w:numPr>
          <w:ilvl w:val="0"/>
          <w:numId w:val="1"/>
        </w:numPr>
        <w:spacing w:before="240" w:after="240"/>
        <w:rPr>
          <w:rFonts w:ascii="HelveticaNeueLT Pro 55 Roman" w:hAnsi="HelveticaNeueLT Pro 55 Roman"/>
        </w:rPr>
      </w:pPr>
      <w:r w:rsidRPr="00DA5D8E">
        <w:rPr>
          <w:rStyle w:val="Strong"/>
          <w:rFonts w:ascii="HelveticaNeueLT Pro 55 Roman" w:hAnsi="HelveticaNeueLT Pro 55 Roman"/>
        </w:rPr>
        <w:t>Alumni influence requires clear boundaries:</w:t>
      </w:r>
      <w:r w:rsidRPr="00DA5D8E">
        <w:rPr>
          <w:rFonts w:ascii="HelveticaNeueLT Pro 55 Roman" w:hAnsi="HelveticaNeueLT Pro 55 Roman"/>
        </w:rPr>
        <w:t xml:space="preserve"> Positive alumni engagement depends on clearly defined limits; without these, informal “old boys/old girls” influence can undermine student safety, leadership accountability and culture reform.</w:t>
      </w:r>
    </w:p>
    <w:p w14:paraId="629602F5" w14:textId="4B60AB80" w:rsidR="00DA5D8E" w:rsidRDefault="00DA5D8E" w:rsidP="00DA5D8E">
      <w:pPr>
        <w:pStyle w:val="ListParagraph"/>
        <w:numPr>
          <w:ilvl w:val="0"/>
          <w:numId w:val="1"/>
        </w:numPr>
        <w:spacing w:before="240" w:after="240"/>
        <w:rPr>
          <w:rFonts w:ascii="HelveticaNeueLT Pro 55 Roman" w:hAnsi="HelveticaNeueLT Pro 55 Roman"/>
        </w:rPr>
      </w:pPr>
      <w:r w:rsidRPr="00DA5D8E">
        <w:rPr>
          <w:rStyle w:val="Strong"/>
          <w:rFonts w:ascii="HelveticaNeueLT Pro 55 Roman" w:hAnsi="HelveticaNeueLT Pro 55 Roman"/>
        </w:rPr>
        <w:t>Culture change must be explicit, not assumed:</w:t>
      </w:r>
      <w:r w:rsidRPr="00DA5D8E">
        <w:rPr>
          <w:rFonts w:ascii="HelveticaNeueLT Pro 55 Roman" w:hAnsi="HelveticaNeueLT Pro 55 Roman"/>
        </w:rPr>
        <w:t xml:space="preserve"> Simply expecting harmful behaviours to fade is ineffective—clear statements, consistent decisions and visible leadership are required to dismantle </w:t>
      </w:r>
      <w:r w:rsidR="00CC2AEA">
        <w:rPr>
          <w:rFonts w:ascii="HelveticaNeueLT Pro 55 Roman" w:hAnsi="HelveticaNeueLT Pro 55 Roman"/>
        </w:rPr>
        <w:t xml:space="preserve">unacceptable </w:t>
      </w:r>
      <w:r w:rsidR="00213992">
        <w:rPr>
          <w:rFonts w:ascii="HelveticaNeueLT Pro 55 Roman" w:hAnsi="HelveticaNeueLT Pro 55 Roman"/>
        </w:rPr>
        <w:t>traditions</w:t>
      </w:r>
      <w:r w:rsidRPr="00DA5D8E">
        <w:rPr>
          <w:rFonts w:ascii="HelveticaNeueLT Pro 55 Roman" w:hAnsi="HelveticaNeueLT Pro 55 Roman"/>
        </w:rPr>
        <w:t>.</w:t>
      </w:r>
    </w:p>
    <w:p w14:paraId="1C4541C8" w14:textId="77777777" w:rsidR="00DA5D8E" w:rsidRDefault="00DA5D8E" w:rsidP="00DA5D8E">
      <w:pPr>
        <w:pStyle w:val="ListParagraph"/>
        <w:numPr>
          <w:ilvl w:val="0"/>
          <w:numId w:val="1"/>
        </w:numPr>
        <w:spacing w:before="240" w:after="240"/>
        <w:rPr>
          <w:rFonts w:ascii="HelveticaNeueLT Pro 55 Roman" w:hAnsi="HelveticaNeueLT Pro 55 Roman"/>
        </w:rPr>
      </w:pPr>
      <w:r w:rsidRPr="00DA5D8E">
        <w:rPr>
          <w:rStyle w:val="Strong"/>
          <w:rFonts w:ascii="HelveticaNeueLT Pro 55 Roman" w:hAnsi="HelveticaNeueLT Pro 55 Roman"/>
        </w:rPr>
        <w:t>Student leaders need institutional backing:</w:t>
      </w:r>
      <w:r w:rsidRPr="00DA5D8E">
        <w:rPr>
          <w:rFonts w:ascii="HelveticaNeueLT Pro 55 Roman" w:hAnsi="HelveticaNeueLT Pro 55 Roman"/>
        </w:rPr>
        <w:t xml:space="preserve"> Student leaders are more effective in resisting harmful cultural pressures when expectations are set and enforced by staff and governance, not left to peer negotiation alone.</w:t>
      </w:r>
    </w:p>
    <w:p w14:paraId="36D02CED" w14:textId="46397D0D" w:rsidR="00DA5D8E" w:rsidRPr="00DA5D8E" w:rsidRDefault="00DA5D8E" w:rsidP="00DA5D8E">
      <w:pPr>
        <w:pStyle w:val="ListParagraph"/>
        <w:numPr>
          <w:ilvl w:val="0"/>
          <w:numId w:val="1"/>
        </w:numPr>
        <w:spacing w:before="240" w:after="240"/>
        <w:rPr>
          <w:rFonts w:ascii="HelveticaNeueLT Pro 55 Roman" w:hAnsi="HelveticaNeueLT Pro 55 Roman"/>
        </w:rPr>
      </w:pPr>
      <w:r w:rsidRPr="00DA5D8E">
        <w:rPr>
          <w:rStyle w:val="Strong"/>
          <w:rFonts w:ascii="HelveticaNeueLT Pro 55 Roman" w:hAnsi="HelveticaNeueLT Pro 55 Roman"/>
        </w:rPr>
        <w:t>Safety improves when hierarchy is reduced:</w:t>
      </w:r>
      <w:r w:rsidRPr="00DA5D8E">
        <w:rPr>
          <w:rFonts w:ascii="HelveticaNeueLT Pro 55 Roman" w:hAnsi="HelveticaNeueLT Pro 55 Roman"/>
        </w:rPr>
        <w:t xml:space="preserve"> Reducing informal hierarchies and status-based traditions strengthens bystander behaviour, reporting confidence and inclusive participation.</w:t>
      </w:r>
    </w:p>
    <w:p w14:paraId="57436C9B" w14:textId="5F5FA025" w:rsidR="494728BF" w:rsidRDefault="494728BF" w:rsidP="07E37946">
      <w:pPr>
        <w:spacing w:before="240" w:after="240"/>
      </w:pPr>
      <w:r w:rsidRPr="07E37946">
        <w:rPr>
          <w:rFonts w:ascii="HelveticaNeueLT Pro 55 Roman" w:eastAsia="HelveticaNeueLT Pro 55 Roman" w:hAnsi="HelveticaNeueLT Pro 55 Roman" w:cs="HelveticaNeueLT Pro 55 Roman"/>
        </w:rPr>
        <w:t xml:space="preserve">These lessons underpin the shift toward a stronger, more integrated, evidence-based and culturally informed approach that aligns with both the </w:t>
      </w:r>
      <w:r w:rsidRPr="00F80C26">
        <w:rPr>
          <w:rFonts w:ascii="HelveticaNeueLT Pro 55 Roman" w:eastAsia="HelveticaNeueLT Pro 55 Roman" w:hAnsi="HelveticaNeueLT Pro 55 Roman" w:cs="HelveticaNeueLT Pro 55 Roman"/>
        </w:rPr>
        <w:t>National Code and the commitments of the Jane Accord.</w:t>
      </w:r>
    </w:p>
    <w:p w14:paraId="7E0846F8" w14:textId="5C8CB36D" w:rsidR="003E65CE" w:rsidRPr="006D1B82" w:rsidRDefault="007971D6" w:rsidP="39E89928">
      <w:pPr>
        <w:spacing w:after="0"/>
        <w:rPr>
          <w:rFonts w:ascii="HelveticaNeueLT Pro 55 Roman" w:hAnsi="HelveticaNeueLT Pro 55 Roman"/>
          <w:highlight w:val="yellow"/>
        </w:rPr>
      </w:pPr>
      <w:r>
        <w:br/>
      </w:r>
      <w:r w:rsidRPr="39E89928">
        <w:rPr>
          <w:rFonts w:ascii="HelveticaNeueLT Pro 55 Roman" w:hAnsi="HelveticaNeueLT Pro 55 Roman"/>
          <w:b/>
          <w:bCs/>
          <w:color w:val="EA2833"/>
        </w:rPr>
        <w:t>3. Planning, engagement and evidence</w:t>
      </w:r>
      <w:r w:rsidR="006D1B82" w:rsidRPr="39E89928">
        <w:rPr>
          <w:rFonts w:ascii="HelveticaNeueLT Pro 55 Roman" w:hAnsi="HelveticaNeueLT Pro 55 Roman"/>
          <w:b/>
          <w:bCs/>
        </w:rPr>
        <w:t xml:space="preserve"> </w:t>
      </w:r>
    </w:p>
    <w:p w14:paraId="1DECF74F" w14:textId="7F3B4CBA" w:rsidR="00F80C26" w:rsidRPr="00F80C26" w:rsidRDefault="00F80C26" w:rsidP="00F80C26">
      <w:p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The development of the Jane College Gender-Based Violence (GBV) Prevention and Response Plan is grounded in evidence, meaningful engagement, and the lived experiences of our community. In keeping with the principles of the Jane Accord, the College has taken a whole-of-organisation approach that centres truth-telling, accountability, respect, and cultural safety.</w:t>
      </w:r>
    </w:p>
    <w:p w14:paraId="26D85A4E" w14:textId="71D931A0" w:rsidR="00F80C26" w:rsidRPr="00F80C26" w:rsidRDefault="00F80C26" w:rsidP="00F80C26">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F80C26">
        <w:rPr>
          <w:rFonts w:ascii="HelveticaNeueLT Pro 55 Roman" w:eastAsia="Times New Roman" w:hAnsi="HelveticaNeueLT Pro 55 Roman" w:cs="Times New Roman"/>
          <w:b/>
          <w:bCs/>
          <w:lang w:val="en-AU" w:eastAsia="en-AU"/>
        </w:rPr>
        <w:lastRenderedPageBreak/>
        <w:t>3.1 Evidence Base for the Plan</w:t>
      </w:r>
    </w:p>
    <w:p w14:paraId="550D3C8C" w14:textId="77777777" w:rsidR="00F80C26" w:rsidRPr="00F80C26" w:rsidRDefault="00F80C26" w:rsidP="00F80C26">
      <w:p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This Plan draws on multiple sources of evidence to ensure that our prevention and response strategies are informed, contemporary, and reflective of the needs of the Jane community. These evidence sources include:</w:t>
      </w:r>
    </w:p>
    <w:p w14:paraId="77D8BB5F" w14:textId="77777777" w:rsid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b/>
          <w:bCs/>
          <w:lang w:val="en-AU" w:eastAsia="en-AU"/>
        </w:rPr>
        <w:t>Learned experience and institutional memory</w:t>
      </w:r>
      <w:r w:rsidRPr="00F80C26">
        <w:rPr>
          <w:rFonts w:ascii="HelveticaNeueLT Pro 55 Roman" w:eastAsia="Times New Roman" w:hAnsi="HelveticaNeueLT Pro 55 Roman" w:cs="Times New Roman"/>
          <w:lang w:val="en-AU" w:eastAsia="en-AU"/>
        </w:rPr>
        <w:t>, including several years of implementing consent training, managing disclosures, supporting student wellbeing, refining misconduct processes, and strengthening pastoral care systems.</w:t>
      </w:r>
    </w:p>
    <w:p w14:paraId="7B0E9DF2" w14:textId="5F400504" w:rsidR="00F80C26" w:rsidRP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b/>
          <w:bCs/>
          <w:lang w:val="en-AU" w:eastAsia="en-AU"/>
        </w:rPr>
        <w:t xml:space="preserve">Data collected </w:t>
      </w:r>
      <w:r w:rsidRPr="00570A44">
        <w:rPr>
          <w:rFonts w:ascii="HelveticaNeueLT Pro 55 Roman" w:eastAsia="Times New Roman" w:hAnsi="HelveticaNeueLT Pro 55 Roman" w:cs="Times New Roman"/>
          <w:lang w:val="en-AU" w:eastAsia="en-AU"/>
        </w:rPr>
        <w:t xml:space="preserve">through the College’s online reporting system, </w:t>
      </w:r>
      <w:proofErr w:type="spellStart"/>
      <w:r w:rsidRPr="00570A44">
        <w:rPr>
          <w:rFonts w:ascii="HelveticaNeueLT Pro 55 Roman" w:eastAsia="Times New Roman" w:hAnsi="HelveticaNeueLT Pro 55 Roman" w:cs="Times New Roman"/>
          <w:lang w:val="en-AU" w:eastAsia="en-AU"/>
        </w:rPr>
        <w:t>Respect</w:t>
      </w:r>
      <w:r w:rsidR="003A793B">
        <w:rPr>
          <w:rFonts w:ascii="HelveticaNeueLT Pro 55 Roman" w:eastAsia="Times New Roman" w:hAnsi="HelveticaNeueLT Pro 55 Roman" w:cs="Times New Roman"/>
          <w:lang w:val="en-AU" w:eastAsia="en-AU"/>
        </w:rPr>
        <w:t>X</w:t>
      </w:r>
      <w:proofErr w:type="spellEnd"/>
      <w:r w:rsidR="003A793B">
        <w:rPr>
          <w:rFonts w:ascii="HelveticaNeueLT Pro 55 Roman" w:eastAsia="Times New Roman" w:hAnsi="HelveticaNeueLT Pro 55 Roman" w:cs="Times New Roman"/>
          <w:lang w:val="en-AU" w:eastAsia="en-AU"/>
        </w:rPr>
        <w:t xml:space="preserve">. </w:t>
      </w:r>
    </w:p>
    <w:p w14:paraId="509916A9" w14:textId="5CD5F348" w:rsidR="00F80C26" w:rsidRP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b/>
          <w:bCs/>
          <w:lang w:val="en-AU" w:eastAsia="en-AU"/>
        </w:rPr>
        <w:t>Student surveys and feedback</w:t>
      </w:r>
      <w:r w:rsidRPr="00F80C26">
        <w:rPr>
          <w:rFonts w:ascii="HelveticaNeueLT Pro 55 Roman" w:eastAsia="Times New Roman" w:hAnsi="HelveticaNeueLT Pro 55 Roman" w:cs="Times New Roman"/>
          <w:lang w:val="en-AU" w:eastAsia="en-AU"/>
        </w:rPr>
        <w:t>, including the annual wellbeing survey, Welcome Week evaluations, and targeted pulse checks that capture experiences of safety, culture, inclusion, and respect</w:t>
      </w:r>
      <w:r w:rsidR="00CC2AEA">
        <w:rPr>
          <w:rFonts w:ascii="HelveticaNeueLT Pro 55 Roman" w:eastAsia="Times New Roman" w:hAnsi="HelveticaNeueLT Pro 55 Roman" w:cs="Times New Roman"/>
          <w:lang w:val="en-AU" w:eastAsia="en-AU"/>
        </w:rPr>
        <w:t xml:space="preserve">. </w:t>
      </w:r>
      <w:r w:rsidR="00DA5D8E">
        <w:rPr>
          <w:rFonts w:ascii="HelveticaNeueLT Pro 55 Roman" w:eastAsia="Times New Roman" w:hAnsi="HelveticaNeueLT Pro 55 Roman" w:cs="Times New Roman"/>
          <w:lang w:val="en-AU" w:eastAsia="en-AU"/>
        </w:rPr>
        <w:t xml:space="preserve"> </w:t>
      </w:r>
    </w:p>
    <w:p w14:paraId="1C0721A5" w14:textId="77777777" w:rsidR="00F80C26" w:rsidRP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b/>
          <w:bCs/>
          <w:lang w:val="en-AU" w:eastAsia="en-AU"/>
        </w:rPr>
        <w:t>Consultation with the Student Club Committee (SCC)</w:t>
      </w:r>
      <w:r w:rsidRPr="00F80C26">
        <w:rPr>
          <w:rFonts w:ascii="HelveticaNeueLT Pro 55 Roman" w:eastAsia="Times New Roman" w:hAnsi="HelveticaNeueLT Pro 55 Roman" w:cs="Times New Roman"/>
          <w:lang w:val="en-AU" w:eastAsia="en-AU"/>
        </w:rPr>
        <w:t>, whose members provide insight into student priorities, reporting barriers, social culture, and opportunities for strengthened peer-led prevention.</w:t>
      </w:r>
    </w:p>
    <w:p w14:paraId="58A27F05" w14:textId="77777777" w:rsidR="00F80C26" w:rsidRP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b/>
          <w:bCs/>
          <w:lang w:val="en-AU" w:eastAsia="en-AU"/>
        </w:rPr>
        <w:t>Input from Senior Residents</w:t>
      </w:r>
      <w:r w:rsidRPr="00F80C26">
        <w:rPr>
          <w:rFonts w:ascii="HelveticaNeueLT Pro 55 Roman" w:eastAsia="Times New Roman" w:hAnsi="HelveticaNeueLT Pro 55 Roman" w:cs="Times New Roman"/>
          <w:lang w:val="en-AU" w:eastAsia="en-AU"/>
        </w:rPr>
        <w:t>, who have direct experience responding to incidents, supporting students, managing boundaries, and assisting with early intervention. Their feedback has been instrumental in clarifying risk points, designing practical response pathways, and shaping training content.</w:t>
      </w:r>
    </w:p>
    <w:p w14:paraId="6CEFD8FA" w14:textId="41053126" w:rsidR="00F80C26" w:rsidRP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b/>
          <w:bCs/>
          <w:lang w:val="en-AU" w:eastAsia="en-AU"/>
        </w:rPr>
        <w:t>Advice from the College Culture Committee</w:t>
      </w:r>
      <w:r w:rsidRPr="00F80C26">
        <w:rPr>
          <w:rFonts w:ascii="HelveticaNeueLT Pro 55 Roman" w:eastAsia="Times New Roman" w:hAnsi="HelveticaNeueLT Pro 55 Roman" w:cs="Times New Roman"/>
          <w:lang w:val="en-AU" w:eastAsia="en-AU"/>
        </w:rPr>
        <w:t>,</w:t>
      </w:r>
      <w:r w:rsidR="00412AF8">
        <w:rPr>
          <w:rFonts w:ascii="HelveticaNeueLT Pro 55 Roman" w:eastAsia="Times New Roman" w:hAnsi="HelveticaNeueLT Pro 55 Roman" w:cs="Times New Roman"/>
          <w:lang w:val="en-AU" w:eastAsia="en-AU"/>
        </w:rPr>
        <w:t xml:space="preserve"> which </w:t>
      </w:r>
      <w:r w:rsidRPr="00F80C26">
        <w:rPr>
          <w:rFonts w:ascii="HelveticaNeueLT Pro 55 Roman" w:eastAsia="Times New Roman" w:hAnsi="HelveticaNeueLT Pro 55 Roman" w:cs="Times New Roman"/>
          <w:lang w:val="en-AU" w:eastAsia="en-AU"/>
        </w:rPr>
        <w:t xml:space="preserve">has guided the development and refinement of the </w:t>
      </w:r>
      <w:r w:rsidR="003A793B">
        <w:rPr>
          <w:rFonts w:ascii="HelveticaNeueLT Pro 55 Roman" w:eastAsia="Times New Roman" w:hAnsi="HelveticaNeueLT Pro 55 Roman" w:cs="Times New Roman"/>
          <w:lang w:val="en-AU" w:eastAsia="en-AU"/>
        </w:rPr>
        <w:t xml:space="preserve">Jane Accord, </w:t>
      </w:r>
      <w:r w:rsidRPr="00F80C26">
        <w:rPr>
          <w:rFonts w:ascii="HelveticaNeueLT Pro 55 Roman" w:eastAsia="Times New Roman" w:hAnsi="HelveticaNeueLT Pro 55 Roman" w:cs="Times New Roman"/>
          <w:lang w:val="en-AU" w:eastAsia="en-AU"/>
        </w:rPr>
        <w:t>ensuring that it reflects both governance needs and student realities.</w:t>
      </w:r>
    </w:p>
    <w:p w14:paraId="4863D9D1" w14:textId="77777777" w:rsid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b/>
          <w:bCs/>
          <w:lang w:val="en-AU" w:eastAsia="en-AU"/>
        </w:rPr>
        <w:t>Risk management systems overseen by the College Council</w:t>
      </w:r>
      <w:r w:rsidRPr="00F80C26">
        <w:rPr>
          <w:rFonts w:ascii="HelveticaNeueLT Pro 55 Roman" w:eastAsia="Times New Roman" w:hAnsi="HelveticaNeueLT Pro 55 Roman" w:cs="Times New Roman"/>
          <w:lang w:val="en-AU" w:eastAsia="en-AU"/>
        </w:rPr>
        <w:t>, including incident reporting trends, annual risk reviews, existing WHS frameworks, and the College’s strategic risk register. This ensures the Plan is integrated with Jane College’s broader approach to organisational safety and governance.</w:t>
      </w:r>
    </w:p>
    <w:p w14:paraId="7C5F8F0C" w14:textId="7266C603" w:rsidR="000A78E0" w:rsidRPr="000A78E0" w:rsidRDefault="000A78E0"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0A78E0">
        <w:rPr>
          <w:rFonts w:ascii="HelveticaNeueLT Pro 55 Roman" w:hAnsi="HelveticaNeueLT Pro 55 Roman"/>
          <w:b/>
          <w:bCs/>
        </w:rPr>
        <w:t>Past reviews of Jane College culture</w:t>
      </w:r>
      <w:r w:rsidRPr="000A78E0">
        <w:rPr>
          <w:rFonts w:ascii="HelveticaNeueLT Pro 55 Roman" w:hAnsi="HelveticaNeueLT Pro 55 Roman"/>
        </w:rPr>
        <w:t>, including an external University-commissioned review in 2022 into the College’s management of sexual misconduct, and a 2024 review examining the influence of Old Girl and Old Boy culture on current students.</w:t>
      </w:r>
    </w:p>
    <w:p w14:paraId="39A80F74" w14:textId="06B598F5" w:rsidR="00F80C26" w:rsidRDefault="00F80C26"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b/>
          <w:bCs/>
          <w:lang w:val="en-AU" w:eastAsia="en-AU"/>
        </w:rPr>
        <w:t>National and sector evidence</w:t>
      </w:r>
      <w:r w:rsidRPr="00F80C26">
        <w:rPr>
          <w:rFonts w:ascii="HelveticaNeueLT Pro 55 Roman" w:eastAsia="Times New Roman" w:hAnsi="HelveticaNeueLT Pro 55 Roman" w:cs="Times New Roman"/>
          <w:lang w:val="en-AU" w:eastAsia="en-AU"/>
        </w:rPr>
        <w:t>, including the National Higher Education Code to Prevent and Respond to Gender-Based Violence, current research on GBV in residential college environments, best-practice models across Australian tertiary institutions</w:t>
      </w:r>
      <w:r w:rsidR="004162A0" w:rsidRPr="004162A0">
        <w:rPr>
          <w:rFonts w:ascii="HelveticaNeueLT Pro 55 Roman" w:eastAsia="Times New Roman" w:hAnsi="HelveticaNeueLT Pro 55 Roman" w:cs="Times New Roman"/>
          <w:lang w:val="en-AU" w:eastAsia="en-AU"/>
        </w:rPr>
        <w:t xml:space="preserve"> </w:t>
      </w:r>
      <w:r w:rsidR="004162A0" w:rsidRPr="00F80C26">
        <w:rPr>
          <w:rFonts w:ascii="HelveticaNeueLT Pro 55 Roman" w:eastAsia="Times New Roman" w:hAnsi="HelveticaNeueLT Pro 55 Roman" w:cs="Times New Roman"/>
          <w:lang w:val="en-AU" w:eastAsia="en-AU"/>
        </w:rPr>
        <w:t>professional bodies</w:t>
      </w:r>
      <w:r w:rsidR="00152C02">
        <w:rPr>
          <w:rFonts w:ascii="HelveticaNeueLT Pro 55 Roman" w:eastAsia="Times New Roman" w:hAnsi="HelveticaNeueLT Pro 55 Roman" w:cs="Times New Roman"/>
          <w:lang w:val="en-AU" w:eastAsia="en-AU"/>
        </w:rPr>
        <w:t xml:space="preserve"> including the </w:t>
      </w:r>
      <w:r w:rsidR="004162A0">
        <w:rPr>
          <w:rFonts w:ascii="HelveticaNeueLT Pro 55 Roman" w:eastAsia="Times New Roman" w:hAnsi="HelveticaNeueLT Pro 55 Roman" w:cs="Times New Roman"/>
          <w:lang w:val="en-AU" w:eastAsia="en-AU"/>
        </w:rPr>
        <w:t xml:space="preserve">University Colleges Australia (UCA) Safer Communities Framework. </w:t>
      </w:r>
    </w:p>
    <w:p w14:paraId="4D85CF42" w14:textId="21D6CDBE" w:rsidR="003B7451" w:rsidRPr="00412AF8" w:rsidRDefault="003B7451" w:rsidP="00F80C26">
      <w:pPr>
        <w:numPr>
          <w:ilvl w:val="0"/>
          <w:numId w:val="1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412AF8">
        <w:rPr>
          <w:rFonts w:ascii="HelveticaNeueLT Pro 55 Roman" w:hAnsi="HelveticaNeueLT Pro 55 Roman"/>
          <w:b/>
          <w:bCs/>
        </w:rPr>
        <w:t>University of Tasmania feedback and collaboration</w:t>
      </w:r>
      <w:r w:rsidRPr="00412AF8">
        <w:rPr>
          <w:rFonts w:ascii="HelveticaNeueLT Pro 55 Roman" w:hAnsi="HelveticaNeueLT Pro 55 Roman"/>
        </w:rPr>
        <w:t xml:space="preserve">, including a </w:t>
      </w:r>
      <w:proofErr w:type="gramStart"/>
      <w:r w:rsidRPr="00412AF8">
        <w:rPr>
          <w:rFonts w:ascii="HelveticaNeueLT Pro 55 Roman" w:hAnsi="HelveticaNeueLT Pro 55 Roman"/>
        </w:rPr>
        <w:t>University</w:t>
      </w:r>
      <w:proofErr w:type="gramEnd"/>
      <w:r w:rsidRPr="00412AF8">
        <w:rPr>
          <w:rFonts w:ascii="HelveticaNeueLT Pro 55 Roman" w:hAnsi="HelveticaNeueLT Pro 55 Roman"/>
        </w:rPr>
        <w:t>-led review in 2022 that informed the development of the Deed of Affiliation between the College and the University of Tasmania.</w:t>
      </w:r>
    </w:p>
    <w:p w14:paraId="7F659786" w14:textId="77777777" w:rsidR="00F80C26" w:rsidRPr="00F80C26" w:rsidRDefault="00F80C26" w:rsidP="00F80C26">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F80C26">
        <w:rPr>
          <w:rFonts w:ascii="HelveticaNeueLT Pro 55 Roman" w:eastAsia="Times New Roman" w:hAnsi="HelveticaNeueLT Pro 55 Roman" w:cs="Times New Roman"/>
          <w:b/>
          <w:bCs/>
          <w:lang w:val="en-AU" w:eastAsia="en-AU"/>
        </w:rPr>
        <w:t>3.2 Engagement and Co-Design</w:t>
      </w:r>
    </w:p>
    <w:p w14:paraId="7772ED55" w14:textId="77777777" w:rsidR="00F80C26" w:rsidRPr="00F80C26" w:rsidRDefault="00F80C26" w:rsidP="00F80C26">
      <w:p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The planning process was intentionally collaborative to ensure that prevention and response strategies reflect community voices and build shared ownership across staff, governance and students. Engagement activities included:</w:t>
      </w:r>
    </w:p>
    <w:p w14:paraId="0F07C740" w14:textId="77777777" w:rsidR="00F80C26" w:rsidRPr="00F80C26" w:rsidRDefault="00F80C26" w:rsidP="00F80C26">
      <w:pPr>
        <w:numPr>
          <w:ilvl w:val="0"/>
          <w:numId w:val="1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Structured discussions with Senior Residents during leadership training and mid-year workshops</w:t>
      </w:r>
    </w:p>
    <w:p w14:paraId="38738EFC" w14:textId="77777777" w:rsidR="00F80C26" w:rsidRPr="00F80C26" w:rsidRDefault="00F80C26" w:rsidP="00F80C26">
      <w:pPr>
        <w:numPr>
          <w:ilvl w:val="0"/>
          <w:numId w:val="1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Consultation sessions with the Student Club Committee</w:t>
      </w:r>
    </w:p>
    <w:p w14:paraId="44411DE2" w14:textId="77777777" w:rsidR="00F80C26" w:rsidRPr="00F80C26" w:rsidRDefault="00F80C26" w:rsidP="00F80C26">
      <w:pPr>
        <w:numPr>
          <w:ilvl w:val="0"/>
          <w:numId w:val="1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Review and advice from the College Culture Committee</w:t>
      </w:r>
    </w:p>
    <w:p w14:paraId="112433C2" w14:textId="77777777" w:rsidR="00F80C26" w:rsidRPr="00F80C26" w:rsidRDefault="00F80C26" w:rsidP="00F80C26">
      <w:pPr>
        <w:numPr>
          <w:ilvl w:val="0"/>
          <w:numId w:val="1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lastRenderedPageBreak/>
        <w:t>Integration of insights from professional and operational staff</w:t>
      </w:r>
    </w:p>
    <w:p w14:paraId="34E245FC" w14:textId="77777777" w:rsidR="00F80C26" w:rsidRPr="00F80C26" w:rsidRDefault="00F80C26" w:rsidP="00F80C26">
      <w:pPr>
        <w:numPr>
          <w:ilvl w:val="0"/>
          <w:numId w:val="1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Feedback loops with student cohorts following Welcome Week, Formal Dinners, and major events</w:t>
      </w:r>
    </w:p>
    <w:p w14:paraId="0CCAA4A0" w14:textId="77777777" w:rsidR="00F80C26" w:rsidRDefault="00F80C26" w:rsidP="00F80C26">
      <w:pPr>
        <w:numPr>
          <w:ilvl w:val="0"/>
          <w:numId w:val="1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Mapping of internal processes with wellbeing and operational teams</w:t>
      </w:r>
    </w:p>
    <w:p w14:paraId="551A3982" w14:textId="6F259ECA" w:rsidR="00F80C26" w:rsidRPr="00F80C26" w:rsidRDefault="00F80C26" w:rsidP="00F80C26">
      <w:p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 xml:space="preserve">These engagement mechanisms support the development of </w:t>
      </w:r>
      <w:r w:rsidR="008F7556">
        <w:rPr>
          <w:rFonts w:ascii="HelveticaNeueLT Pro 55 Roman" w:eastAsia="Times New Roman" w:hAnsi="HelveticaNeueLT Pro 55 Roman" w:cs="Times New Roman"/>
          <w:lang w:val="en-AU" w:eastAsia="en-AU"/>
        </w:rPr>
        <w:t>this</w:t>
      </w:r>
      <w:r w:rsidRPr="00F80C26">
        <w:rPr>
          <w:rFonts w:ascii="HelveticaNeueLT Pro 55 Roman" w:eastAsia="Times New Roman" w:hAnsi="HelveticaNeueLT Pro 55 Roman" w:cs="Times New Roman"/>
          <w:lang w:val="en-AU" w:eastAsia="en-AU"/>
        </w:rPr>
        <w:t xml:space="preserve"> Plan that is lived</w:t>
      </w:r>
      <w:r w:rsidR="008F7556">
        <w:rPr>
          <w:rFonts w:ascii="HelveticaNeueLT Pro 55 Roman" w:eastAsia="Times New Roman" w:hAnsi="HelveticaNeueLT Pro 55 Roman" w:cs="Times New Roman"/>
          <w:lang w:val="en-AU" w:eastAsia="en-AU"/>
        </w:rPr>
        <w:t xml:space="preserve"> and</w:t>
      </w:r>
      <w:r w:rsidRPr="00F80C26">
        <w:rPr>
          <w:rFonts w:ascii="HelveticaNeueLT Pro 55 Roman" w:eastAsia="Times New Roman" w:hAnsi="HelveticaNeueLT Pro 55 Roman" w:cs="Times New Roman"/>
          <w:lang w:val="en-AU" w:eastAsia="en-AU"/>
        </w:rPr>
        <w:t xml:space="preserve"> reflects the true rhythms, challenges and strengths of life at Jane College.</w:t>
      </w:r>
    </w:p>
    <w:p w14:paraId="6A1D1095" w14:textId="77777777" w:rsidR="00F80C26" w:rsidRPr="00F80C26" w:rsidRDefault="00F80C26" w:rsidP="00F80C26">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F80C26">
        <w:rPr>
          <w:rFonts w:ascii="HelveticaNeueLT Pro 55 Roman" w:eastAsia="Times New Roman" w:hAnsi="HelveticaNeueLT Pro 55 Roman" w:cs="Times New Roman"/>
          <w:b/>
          <w:bCs/>
          <w:lang w:val="en-AU" w:eastAsia="en-AU"/>
        </w:rPr>
        <w:t>3.3 Ongoing Review and Continuous Improvement</w:t>
      </w:r>
    </w:p>
    <w:p w14:paraId="78121498" w14:textId="77777777" w:rsidR="00F80C26" w:rsidRPr="00F80C26" w:rsidRDefault="00F80C26" w:rsidP="00F80C26">
      <w:p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In line with the Jane Accord’s commitment to learning and accountability, the College will undertake structured evaluation and review activities including:</w:t>
      </w:r>
    </w:p>
    <w:p w14:paraId="68ACFDB5" w14:textId="77777777" w:rsidR="00F80C26" w:rsidRPr="00F80C26" w:rsidRDefault="00F80C26" w:rsidP="00F80C26">
      <w:pPr>
        <w:numPr>
          <w:ilvl w:val="0"/>
          <w:numId w:val="1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A whole-of-organisation GBV risk assessment every March, to identify emerging risks, track cultural progress, analyse reporting patterns and ensure the Plan remains dynamic and evidence-based.</w:t>
      </w:r>
    </w:p>
    <w:p w14:paraId="4F8DF792" w14:textId="77777777" w:rsidR="00F80C26" w:rsidRPr="00F80C26" w:rsidRDefault="00F80C26" w:rsidP="00F80C26">
      <w:pPr>
        <w:numPr>
          <w:ilvl w:val="0"/>
          <w:numId w:val="1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Annual review of training content, reporting pathways, and student support mechanisms</w:t>
      </w:r>
    </w:p>
    <w:p w14:paraId="145F8EAF" w14:textId="77777777" w:rsidR="00F80C26" w:rsidRPr="00F80C26" w:rsidRDefault="00F80C26" w:rsidP="00F80C26">
      <w:pPr>
        <w:numPr>
          <w:ilvl w:val="0"/>
          <w:numId w:val="1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Six-monthly reporting to the College Council and the College Culture Committee</w:t>
      </w:r>
    </w:p>
    <w:p w14:paraId="30F17F9B" w14:textId="77777777" w:rsidR="00F80C26" w:rsidRPr="00F80C26" w:rsidRDefault="00F80C26" w:rsidP="00F80C26">
      <w:pPr>
        <w:numPr>
          <w:ilvl w:val="0"/>
          <w:numId w:val="1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Integration of new national requirements or sector best-practice reforms</w:t>
      </w:r>
    </w:p>
    <w:p w14:paraId="3BB92158" w14:textId="77777777" w:rsidR="00F80C26" w:rsidRPr="00F80C26" w:rsidRDefault="00F80C26" w:rsidP="00F80C26">
      <w:pPr>
        <w:numPr>
          <w:ilvl w:val="0"/>
          <w:numId w:val="1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Reflection on incident data and student feedback to guide targeted interventions</w:t>
      </w:r>
    </w:p>
    <w:p w14:paraId="4841041C" w14:textId="77777777" w:rsidR="00F80C26" w:rsidRPr="00F80C26" w:rsidRDefault="00F80C26" w:rsidP="00F80C26">
      <w:pPr>
        <w:spacing w:before="100" w:beforeAutospacing="1" w:after="100" w:afterAutospacing="1" w:line="240" w:lineRule="auto"/>
        <w:rPr>
          <w:rFonts w:ascii="HelveticaNeueLT Pro 55 Roman" w:eastAsia="Times New Roman" w:hAnsi="HelveticaNeueLT Pro 55 Roman" w:cs="Times New Roman"/>
          <w:lang w:val="en-AU" w:eastAsia="en-AU"/>
        </w:rPr>
      </w:pPr>
      <w:r w:rsidRPr="00F80C26">
        <w:rPr>
          <w:rFonts w:ascii="HelveticaNeueLT Pro 55 Roman" w:eastAsia="Times New Roman" w:hAnsi="HelveticaNeueLT Pro 55 Roman" w:cs="Times New Roman"/>
          <w:lang w:val="en-AU" w:eastAsia="en-AU"/>
        </w:rPr>
        <w:t>These continuous improvement processes ensure that GBV prevention and response at Jane College remains adaptive, responsive and aligned with contemporary expectations.</w:t>
      </w:r>
    </w:p>
    <w:p w14:paraId="4EB2B859" w14:textId="77777777" w:rsidR="00574C96" w:rsidRPr="006D1B82" w:rsidRDefault="00574C96" w:rsidP="00705E60">
      <w:pPr>
        <w:spacing w:after="0"/>
        <w:rPr>
          <w:rFonts w:ascii="HelveticaNeueLT Pro 55 Roman" w:hAnsi="HelveticaNeueLT Pro 55 Roman"/>
        </w:rPr>
      </w:pPr>
    </w:p>
    <w:p w14:paraId="367E6705" w14:textId="77777777" w:rsidR="003E65CE" w:rsidRPr="00885B1E" w:rsidRDefault="007971D6" w:rsidP="00705E60">
      <w:pPr>
        <w:spacing w:after="0"/>
        <w:rPr>
          <w:rFonts w:ascii="HelveticaNeueLT Pro 55 Roman" w:hAnsi="HelveticaNeueLT Pro 55 Roman"/>
          <w:color w:val="EA2833"/>
        </w:rPr>
      </w:pPr>
      <w:r w:rsidRPr="00885B1E">
        <w:rPr>
          <w:rFonts w:ascii="HelveticaNeueLT Pro 55 Roman" w:hAnsi="HelveticaNeueLT Pro 55 Roman"/>
          <w:b/>
          <w:color w:val="EA2833"/>
        </w:rPr>
        <w:t>4. Approach</w:t>
      </w:r>
    </w:p>
    <w:p w14:paraId="4EFF65C2" w14:textId="77777777" w:rsidR="00570A44" w:rsidRPr="00570A44" w:rsidRDefault="00570A44" w:rsidP="00570A44">
      <w:p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 xml:space="preserve">Jane College is committed to preventing and responding to gender-based violence (GBV) wherever it may affect our students or staff—including at the College, on </w:t>
      </w:r>
      <w:proofErr w:type="gramStart"/>
      <w:r w:rsidRPr="00570A44">
        <w:rPr>
          <w:rFonts w:ascii="HelveticaNeueLT Pro 55 Roman" w:eastAsia="Times New Roman" w:hAnsi="HelveticaNeueLT Pro 55 Roman" w:cs="Times New Roman"/>
          <w:lang w:val="en-AU" w:eastAsia="en-AU"/>
        </w:rPr>
        <w:t>University</w:t>
      </w:r>
      <w:proofErr w:type="gramEnd"/>
      <w:r w:rsidRPr="00570A44">
        <w:rPr>
          <w:rFonts w:ascii="HelveticaNeueLT Pro 55 Roman" w:eastAsia="Times New Roman" w:hAnsi="HelveticaNeueLT Pro 55 Roman" w:cs="Times New Roman"/>
          <w:lang w:val="en-AU" w:eastAsia="en-AU"/>
        </w:rPr>
        <w:t xml:space="preserve"> grounds, online, and at any affiliated, social, academic or residential event. Our approach is grounded in the principles of the Jane Accord, placing safety, dignity, accountability and cultural respect at the centre of all decision-making.</w:t>
      </w:r>
    </w:p>
    <w:p w14:paraId="36EFA7A8" w14:textId="77777777" w:rsidR="00570A44" w:rsidRPr="00570A44" w:rsidRDefault="00570A44" w:rsidP="00570A44">
      <w:p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Our prevention efforts address both the drivers of GBV—including gender inequality, harmful social norms and power imbalances—and the contextual factors that can heighten risk in residential and tertiary environments, such as alcohol and other drugs, isolated or poorly supervised spaces, online harms, hazing or initiation practices, and power dynamics in placements, leadership roles and peer groups.</w:t>
      </w:r>
    </w:p>
    <w:p w14:paraId="22FFAC41" w14:textId="77777777" w:rsidR="00570A44" w:rsidRPr="00570A44" w:rsidRDefault="00570A44" w:rsidP="00570A44">
      <w:p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We take a whole-of-organisation approach, embedding GBV prevention and response into governance structures, policies, daily operations, community leadership and external partnerships. This ensures that every part of the College system contributes to a safe, respectful and inclusive culture.</w:t>
      </w:r>
    </w:p>
    <w:p w14:paraId="457FF362" w14:textId="77777777" w:rsidR="00570A44" w:rsidRPr="00570A44" w:rsidRDefault="00570A44" w:rsidP="00570A44">
      <w:pPr>
        <w:spacing w:before="100" w:beforeAutospacing="1" w:after="100" w:afterAutospacing="1" w:line="240" w:lineRule="auto"/>
        <w:outlineLvl w:val="2"/>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lastRenderedPageBreak/>
        <w:t>Key elements of our approach include:</w:t>
      </w:r>
    </w:p>
    <w:p w14:paraId="58A8D22A" w14:textId="77777777" w:rsidR="00570A44" w:rsidRP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Visible leadership and clear accountability, including oversight from the College Council and its Sub-Committees.</w:t>
      </w:r>
    </w:p>
    <w:p w14:paraId="5F936DBF" w14:textId="77777777" w:rsidR="00570A44" w:rsidRP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Clear, accessible policies and procedures that set expectations and outline consequences.</w:t>
      </w:r>
    </w:p>
    <w:p w14:paraId="35E62615" w14:textId="77777777" w:rsidR="00570A44" w:rsidRP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Safe, confidential and culturally appropriate reporting and response pathways, including trauma-informed practice.</w:t>
      </w:r>
    </w:p>
    <w:p w14:paraId="594FCA78" w14:textId="77777777" w:rsidR="00570A44" w:rsidRP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Specialist support and coordinated care, ensuring timely, sensitive and appropriate responses to disclosures.</w:t>
      </w:r>
    </w:p>
    <w:p w14:paraId="65174B70" w14:textId="77777777" w:rsidR="00570A44" w:rsidRP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Capability building for staff, Senior Residents, student leaders and the broader community, through ongoing training and role-specific development.</w:t>
      </w:r>
    </w:p>
    <w:p w14:paraId="49B5EC77" w14:textId="77777777" w:rsidR="00570A44" w:rsidRP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Inclusive, strengths-based communication that promotes respect, challenges harmful norms and supports a diverse community.</w:t>
      </w:r>
    </w:p>
    <w:p w14:paraId="633D76D5" w14:textId="77777777" w:rsidR="00570A44" w:rsidRP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Continuous monitoring, review and evaluation, including annual whole-of-organisation risk assessments and regular reporting to governance committees.</w:t>
      </w:r>
    </w:p>
    <w:p w14:paraId="4804AEE8" w14:textId="77777777" w:rsidR="00570A44" w:rsidRDefault="00570A44"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Co-design and engagement with groups disproportionately affected by GBV, including women, First Nations people, culturally and linguistically diverse students, students with disability, and LGBTQIA+ community members.</w:t>
      </w:r>
    </w:p>
    <w:p w14:paraId="4C63F773" w14:textId="32C82385" w:rsidR="003476EE" w:rsidRPr="00570A44" w:rsidRDefault="003476EE" w:rsidP="00570A44">
      <w:pPr>
        <w:numPr>
          <w:ilvl w:val="0"/>
          <w:numId w:val="17"/>
        </w:numPr>
        <w:spacing w:before="100" w:beforeAutospacing="1" w:after="100" w:afterAutospacing="1"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t xml:space="preserve">Collaborate with the University of Tasmania to support effective implementation of this Plan and of the University’s own </w:t>
      </w:r>
      <w:r w:rsidRPr="003476EE">
        <w:rPr>
          <w:rFonts w:ascii="HelveticaNeueLT Pro 55 Roman" w:eastAsia="Times New Roman" w:hAnsi="HelveticaNeueLT Pro 55 Roman" w:cs="Times New Roman"/>
          <w:i/>
          <w:iCs/>
          <w:lang w:val="en-AU" w:eastAsia="en-AU"/>
        </w:rPr>
        <w:t>Gender-Based Violence Action Plan 2025-2026</w:t>
      </w:r>
      <w:r>
        <w:rPr>
          <w:rFonts w:ascii="HelveticaNeueLT Pro 55 Roman" w:eastAsia="Times New Roman" w:hAnsi="HelveticaNeueLT Pro 55 Roman" w:cs="Times New Roman"/>
          <w:i/>
          <w:iCs/>
          <w:lang w:val="en-AU" w:eastAsia="en-AU"/>
        </w:rPr>
        <w:t>.</w:t>
      </w:r>
    </w:p>
    <w:p w14:paraId="76B6D8D6" w14:textId="77777777" w:rsidR="00570A44" w:rsidRPr="00570A44" w:rsidRDefault="00570A44" w:rsidP="00570A44">
      <w:pPr>
        <w:spacing w:before="100" w:beforeAutospacing="1" w:after="100" w:afterAutospacing="1" w:line="240" w:lineRule="auto"/>
        <w:rPr>
          <w:rFonts w:ascii="HelveticaNeueLT Pro 55 Roman" w:eastAsia="Times New Roman" w:hAnsi="HelveticaNeueLT Pro 55 Roman" w:cs="Times New Roman"/>
          <w:lang w:val="en-AU" w:eastAsia="en-AU"/>
        </w:rPr>
      </w:pPr>
      <w:r w:rsidRPr="00570A44">
        <w:rPr>
          <w:rFonts w:ascii="HelveticaNeueLT Pro 55 Roman" w:eastAsia="Times New Roman" w:hAnsi="HelveticaNeueLT Pro 55 Roman" w:cs="Times New Roman"/>
          <w:lang w:val="en-AU" w:eastAsia="en-AU"/>
        </w:rPr>
        <w:t>This integrated approach ensures that GBV prevention and response is not a single program, but a sustained, community-wide commitment woven into every aspect of life at Jane College.</w:t>
      </w:r>
    </w:p>
    <w:p w14:paraId="2B91AAF4" w14:textId="77777777" w:rsidR="006D1B82" w:rsidRPr="006D1B82" w:rsidRDefault="006D1B82" w:rsidP="00705E60">
      <w:pPr>
        <w:spacing w:after="0"/>
        <w:rPr>
          <w:rFonts w:ascii="HelveticaNeueLT Pro 55 Roman" w:hAnsi="HelveticaNeueLT Pro 55 Roman"/>
        </w:rPr>
      </w:pPr>
    </w:p>
    <w:p w14:paraId="64703CBB" w14:textId="2DF42D91" w:rsidR="003E65CE" w:rsidRPr="00885B1E" w:rsidRDefault="007971D6" w:rsidP="00705E60">
      <w:pPr>
        <w:spacing w:after="0"/>
        <w:rPr>
          <w:rFonts w:ascii="HelveticaNeueLT Pro 55 Roman" w:hAnsi="HelveticaNeueLT Pro 55 Roman"/>
          <w:color w:val="EA2833"/>
        </w:rPr>
      </w:pPr>
      <w:r w:rsidRPr="00885B1E">
        <w:rPr>
          <w:rFonts w:ascii="HelveticaNeueLT Pro 55 Roman" w:hAnsi="HelveticaNeueLT Pro 55 Roman"/>
          <w:b/>
          <w:color w:val="EA2833"/>
        </w:rPr>
        <w:t>5. Whole-of-Organisation Gender-based Violence Prevention and Response Plan</w:t>
      </w:r>
    </w:p>
    <w:p w14:paraId="5272D72D" w14:textId="77777777" w:rsidR="00574C96" w:rsidRDefault="00574C96" w:rsidP="00705E60">
      <w:pPr>
        <w:spacing w:after="0"/>
        <w:rPr>
          <w:rFonts w:ascii="HelveticaNeueLT Pro 55 Roman" w:hAnsi="HelveticaNeueLT Pro 55 Roman"/>
          <w:b/>
        </w:rPr>
      </w:pPr>
    </w:p>
    <w:p w14:paraId="40D6CE51" w14:textId="4BEBAD31" w:rsidR="003E65CE" w:rsidRDefault="00643AAE" w:rsidP="00705E60">
      <w:pPr>
        <w:spacing w:after="0"/>
        <w:rPr>
          <w:rFonts w:ascii="HelveticaNeueLT Pro 55 Roman" w:hAnsi="HelveticaNeueLT Pro 55 Roman"/>
          <w:b/>
        </w:rPr>
      </w:pPr>
      <w:r>
        <w:rPr>
          <w:rFonts w:ascii="HelveticaNeueLT Pro 55 Roman" w:hAnsi="HelveticaNeueLT Pro 55 Roman"/>
          <w:b/>
        </w:rPr>
        <w:t xml:space="preserve">Standard </w:t>
      </w:r>
      <w:r w:rsidR="00B238D4">
        <w:rPr>
          <w:rFonts w:ascii="HelveticaNeueLT Pro 55 Roman" w:hAnsi="HelveticaNeueLT Pro 55 Roman"/>
          <w:b/>
        </w:rPr>
        <w:t xml:space="preserve">7: Safe Student Accommodation – student accommodation is safe for all student and staff. </w:t>
      </w:r>
    </w:p>
    <w:p w14:paraId="742272A6" w14:textId="77777777" w:rsidR="0035418C" w:rsidRPr="006D1B82" w:rsidRDefault="0035418C" w:rsidP="00705E60">
      <w:pPr>
        <w:spacing w:after="0"/>
        <w:rPr>
          <w:rFonts w:ascii="HelveticaNeueLT Pro 55 Roman" w:hAnsi="HelveticaNeueLT Pro 55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1843"/>
        <w:gridCol w:w="1843"/>
        <w:gridCol w:w="4636"/>
      </w:tblGrid>
      <w:tr w:rsidR="00B238D4" w:rsidRPr="006D1B82" w14:paraId="6B39F208" w14:textId="77777777" w:rsidTr="00C8560A">
        <w:tc>
          <w:tcPr>
            <w:tcW w:w="13562" w:type="dxa"/>
            <w:gridSpan w:val="5"/>
          </w:tcPr>
          <w:p w14:paraId="466D53F0" w14:textId="16208CEF" w:rsidR="00B238D4" w:rsidRPr="0035418C" w:rsidRDefault="00B238D4" w:rsidP="00705E60">
            <w:pPr>
              <w:spacing w:after="0"/>
              <w:rPr>
                <w:rFonts w:ascii="HelveticaNeueLT Pro 55 Roman" w:hAnsi="HelveticaNeueLT Pro 55 Roman"/>
                <w:b/>
                <w:bCs/>
              </w:rPr>
            </w:pPr>
            <w:bookmarkStart w:id="0" w:name="_Hlk216704747"/>
            <w:r w:rsidRPr="003515FD">
              <w:rPr>
                <w:rFonts w:ascii="HelveticaNeueLT Pro 55 Roman" w:hAnsi="HelveticaNeueLT Pro 55 Roman"/>
                <w:b/>
                <w:bCs/>
                <w:color w:val="3F0065"/>
              </w:rPr>
              <w:t xml:space="preserve">Accountable Leadership and Governance </w:t>
            </w:r>
          </w:p>
        </w:tc>
      </w:tr>
      <w:tr w:rsidR="00B238D4" w:rsidRPr="006D1B82" w14:paraId="70F8DF2D" w14:textId="77777777" w:rsidTr="00B238D4">
        <w:tc>
          <w:tcPr>
            <w:tcW w:w="562" w:type="dxa"/>
            <w:vMerge w:val="restart"/>
            <w:shd w:val="clear" w:color="auto" w:fill="EEECE1" w:themeFill="background2"/>
          </w:tcPr>
          <w:p w14:paraId="0F817885" w14:textId="027F179B" w:rsidR="00B238D4" w:rsidRPr="0035418C" w:rsidRDefault="00B238D4" w:rsidP="00705E60">
            <w:pPr>
              <w:spacing w:after="0"/>
              <w:rPr>
                <w:rFonts w:ascii="HelveticaNeueLT Pro 55 Roman" w:hAnsi="HelveticaNeueLT Pro 55 Roman"/>
                <w:b/>
                <w:bCs/>
              </w:rPr>
            </w:pPr>
            <w:r>
              <w:rPr>
                <w:rFonts w:ascii="HelveticaNeueLT Pro 55 Roman" w:hAnsi="HelveticaNeueLT Pro 55 Roman"/>
                <w:b/>
                <w:bCs/>
              </w:rPr>
              <w:t>7.2</w:t>
            </w:r>
          </w:p>
        </w:tc>
        <w:tc>
          <w:tcPr>
            <w:tcW w:w="4678" w:type="dxa"/>
            <w:shd w:val="clear" w:color="auto" w:fill="EEECE1" w:themeFill="background2"/>
          </w:tcPr>
          <w:p w14:paraId="0BB5C0FC" w14:textId="7837CB5C" w:rsidR="00B238D4" w:rsidRPr="0035418C" w:rsidRDefault="00B238D4" w:rsidP="00705E60">
            <w:pPr>
              <w:spacing w:after="0"/>
              <w:rPr>
                <w:rFonts w:ascii="HelveticaNeueLT Pro 55 Roman" w:hAnsi="HelveticaNeueLT Pro 55 Roman"/>
                <w:b/>
                <w:bCs/>
              </w:rPr>
            </w:pPr>
            <w:r w:rsidRPr="0035418C">
              <w:rPr>
                <w:rFonts w:ascii="HelveticaNeueLT Pro 55 Roman" w:hAnsi="HelveticaNeueLT Pro 55 Roman"/>
                <w:b/>
                <w:bCs/>
              </w:rPr>
              <w:t>Action</w:t>
            </w:r>
          </w:p>
        </w:tc>
        <w:tc>
          <w:tcPr>
            <w:tcW w:w="1843" w:type="dxa"/>
            <w:shd w:val="clear" w:color="auto" w:fill="EEECE1" w:themeFill="background2"/>
          </w:tcPr>
          <w:p w14:paraId="56B948EE" w14:textId="77777777" w:rsidR="00B238D4" w:rsidRPr="0035418C" w:rsidRDefault="00B238D4" w:rsidP="00705E60">
            <w:pPr>
              <w:spacing w:after="0"/>
              <w:rPr>
                <w:rFonts w:ascii="HelveticaNeueLT Pro 55 Roman" w:hAnsi="HelveticaNeueLT Pro 55 Roman"/>
                <w:b/>
                <w:bCs/>
              </w:rPr>
            </w:pPr>
            <w:r w:rsidRPr="0035418C">
              <w:rPr>
                <w:rFonts w:ascii="HelveticaNeueLT Pro 55 Roman" w:hAnsi="HelveticaNeueLT Pro 55 Roman"/>
                <w:b/>
                <w:bCs/>
              </w:rPr>
              <w:t>Responsible</w:t>
            </w:r>
          </w:p>
        </w:tc>
        <w:tc>
          <w:tcPr>
            <w:tcW w:w="1843" w:type="dxa"/>
            <w:shd w:val="clear" w:color="auto" w:fill="EEECE1" w:themeFill="background2"/>
          </w:tcPr>
          <w:p w14:paraId="1D2FB3F2" w14:textId="77777777" w:rsidR="00B238D4" w:rsidRPr="0035418C" w:rsidRDefault="00B238D4" w:rsidP="00705E60">
            <w:pPr>
              <w:spacing w:after="0"/>
              <w:rPr>
                <w:rFonts w:ascii="HelveticaNeueLT Pro 55 Roman" w:hAnsi="HelveticaNeueLT Pro 55 Roman"/>
                <w:b/>
                <w:bCs/>
              </w:rPr>
            </w:pPr>
            <w:r w:rsidRPr="0035418C">
              <w:rPr>
                <w:rFonts w:ascii="HelveticaNeueLT Pro 55 Roman" w:hAnsi="HelveticaNeueLT Pro 55 Roman"/>
                <w:b/>
                <w:bCs/>
              </w:rPr>
              <w:t>Timeline</w:t>
            </w:r>
          </w:p>
        </w:tc>
        <w:tc>
          <w:tcPr>
            <w:tcW w:w="4636" w:type="dxa"/>
            <w:shd w:val="clear" w:color="auto" w:fill="EEECE1" w:themeFill="background2"/>
          </w:tcPr>
          <w:p w14:paraId="4A170A74" w14:textId="77777777" w:rsidR="00B238D4" w:rsidRPr="0035418C" w:rsidRDefault="00B238D4" w:rsidP="00705E60">
            <w:pPr>
              <w:spacing w:after="0"/>
              <w:rPr>
                <w:rFonts w:ascii="HelveticaNeueLT Pro 55 Roman" w:hAnsi="HelveticaNeueLT Pro 55 Roman"/>
                <w:b/>
                <w:bCs/>
              </w:rPr>
            </w:pPr>
            <w:r w:rsidRPr="0035418C">
              <w:rPr>
                <w:rFonts w:ascii="HelveticaNeueLT Pro 55 Roman" w:hAnsi="HelveticaNeueLT Pro 55 Roman"/>
                <w:b/>
                <w:bCs/>
              </w:rPr>
              <w:t>Resources</w:t>
            </w:r>
          </w:p>
        </w:tc>
      </w:tr>
      <w:tr w:rsidR="00B238D4" w:rsidRPr="006D1B82" w14:paraId="5F5C9948" w14:textId="77777777" w:rsidTr="00B238D4">
        <w:tc>
          <w:tcPr>
            <w:tcW w:w="562" w:type="dxa"/>
            <w:vMerge/>
            <w:shd w:val="clear" w:color="auto" w:fill="EEECE1" w:themeFill="background2"/>
          </w:tcPr>
          <w:p w14:paraId="16A40402" w14:textId="77777777" w:rsidR="00B238D4" w:rsidRDefault="00B238D4" w:rsidP="00705E60">
            <w:pPr>
              <w:spacing w:after="0"/>
              <w:rPr>
                <w:rFonts w:ascii="HelveticaNeueLT Pro 55 Roman" w:hAnsi="HelveticaNeueLT Pro 55 Roman"/>
              </w:rPr>
            </w:pPr>
          </w:p>
        </w:tc>
        <w:tc>
          <w:tcPr>
            <w:tcW w:w="4678" w:type="dxa"/>
          </w:tcPr>
          <w:p w14:paraId="1696B5CA" w14:textId="51791880" w:rsidR="00B238D4" w:rsidRPr="006D1B82" w:rsidRDefault="00B238D4" w:rsidP="00705E60">
            <w:pPr>
              <w:spacing w:after="0"/>
              <w:rPr>
                <w:rFonts w:ascii="HelveticaNeueLT Pro 55 Roman" w:hAnsi="HelveticaNeueLT Pro 55 Roman"/>
              </w:rPr>
            </w:pPr>
            <w:r>
              <w:rPr>
                <w:rFonts w:ascii="HelveticaNeueLT Pro 55 Roman" w:hAnsi="HelveticaNeueLT Pro 55 Roman"/>
              </w:rPr>
              <w:t xml:space="preserve">Develop </w:t>
            </w:r>
            <w:r w:rsidR="00F94FC1">
              <w:rPr>
                <w:rFonts w:ascii="HelveticaNeueLT Pro 55 Roman" w:hAnsi="HelveticaNeueLT Pro 55 Roman"/>
              </w:rPr>
              <w:t xml:space="preserve">a Jane College </w:t>
            </w:r>
            <w:r>
              <w:rPr>
                <w:rFonts w:ascii="HelveticaNeueLT Pro 55 Roman" w:hAnsi="HelveticaNeueLT Pro 55 Roman"/>
              </w:rPr>
              <w:t xml:space="preserve">Prevention and Response Plan </w:t>
            </w:r>
          </w:p>
        </w:tc>
        <w:tc>
          <w:tcPr>
            <w:tcW w:w="1843" w:type="dxa"/>
          </w:tcPr>
          <w:p w14:paraId="2EC8C45A" w14:textId="0B33F7BD" w:rsidR="00B238D4" w:rsidRPr="006D1B82" w:rsidRDefault="00B238D4" w:rsidP="00705E60">
            <w:pPr>
              <w:spacing w:after="0"/>
              <w:rPr>
                <w:rFonts w:ascii="HelveticaNeueLT Pro 55 Roman" w:hAnsi="HelveticaNeueLT Pro 55 Roman"/>
              </w:rPr>
            </w:pPr>
            <w:r>
              <w:rPr>
                <w:rFonts w:ascii="HelveticaNeueLT Pro 55 Roman" w:hAnsi="HelveticaNeueLT Pro 55 Roman"/>
              </w:rPr>
              <w:t xml:space="preserve">Principal </w:t>
            </w:r>
          </w:p>
        </w:tc>
        <w:tc>
          <w:tcPr>
            <w:tcW w:w="1843" w:type="dxa"/>
          </w:tcPr>
          <w:p w14:paraId="67216C7C" w14:textId="2524936A" w:rsidR="00B238D4" w:rsidRPr="006D1B82" w:rsidRDefault="00B238D4" w:rsidP="00705E60">
            <w:pPr>
              <w:spacing w:after="0"/>
              <w:rPr>
                <w:rFonts w:ascii="HelveticaNeueLT Pro 55 Roman" w:hAnsi="HelveticaNeueLT Pro 55 Roman"/>
              </w:rPr>
            </w:pPr>
            <w:r>
              <w:rPr>
                <w:rFonts w:ascii="HelveticaNeueLT Pro 55 Roman" w:hAnsi="HelveticaNeueLT Pro 55 Roman"/>
              </w:rPr>
              <w:t>Q4 2025</w:t>
            </w:r>
          </w:p>
        </w:tc>
        <w:tc>
          <w:tcPr>
            <w:tcW w:w="4636" w:type="dxa"/>
          </w:tcPr>
          <w:p w14:paraId="084BCF4E" w14:textId="658FBE5E" w:rsidR="00B238D4" w:rsidRPr="0066517D" w:rsidRDefault="00B238D4" w:rsidP="00705E60">
            <w:pPr>
              <w:spacing w:after="0"/>
              <w:rPr>
                <w:rFonts w:ascii="HelveticaNeueLT Pro 55 Roman" w:hAnsi="HelveticaNeueLT Pro 55 Roman"/>
              </w:rPr>
            </w:pPr>
            <w:r w:rsidRPr="0066517D">
              <w:rPr>
                <w:rFonts w:ascii="HelveticaNeueLT Pro 55 Roman" w:hAnsi="HelveticaNeueLT Pro 55 Roman"/>
                <w:i/>
                <w:iCs/>
              </w:rPr>
              <w:t>Guidance to Develop a Whole</w:t>
            </w:r>
            <w:r>
              <w:rPr>
                <w:rFonts w:ascii="HelveticaNeueLT Pro 55 Roman" w:hAnsi="HelveticaNeueLT Pro 55 Roman"/>
                <w:i/>
                <w:iCs/>
              </w:rPr>
              <w:t>-</w:t>
            </w:r>
            <w:r w:rsidRPr="0066517D">
              <w:rPr>
                <w:rFonts w:ascii="HelveticaNeueLT Pro 55 Roman" w:hAnsi="HelveticaNeueLT Pro 55 Roman"/>
                <w:i/>
                <w:iCs/>
              </w:rPr>
              <w:t>of</w:t>
            </w:r>
            <w:r>
              <w:rPr>
                <w:rFonts w:ascii="HelveticaNeueLT Pro 55 Roman" w:hAnsi="HelveticaNeueLT Pro 55 Roman"/>
                <w:i/>
                <w:iCs/>
              </w:rPr>
              <w:t>-</w:t>
            </w:r>
            <w:proofErr w:type="spellStart"/>
            <w:r w:rsidRPr="0066517D">
              <w:rPr>
                <w:rFonts w:ascii="HelveticaNeueLT Pro 55 Roman" w:hAnsi="HelveticaNeueLT Pro 55 Roman"/>
                <w:i/>
                <w:iCs/>
              </w:rPr>
              <w:t>Organisation</w:t>
            </w:r>
            <w:proofErr w:type="spellEnd"/>
            <w:r w:rsidRPr="0066517D">
              <w:rPr>
                <w:rFonts w:ascii="HelveticaNeueLT Pro 55 Roman" w:hAnsi="HelveticaNeueLT Pro 55 Roman"/>
                <w:i/>
                <w:iCs/>
              </w:rPr>
              <w:t xml:space="preserve"> Gender Based Violence Prevention and Response Plan and Outcomes Framework</w:t>
            </w:r>
            <w:r>
              <w:rPr>
                <w:rFonts w:ascii="HelveticaNeueLT Pro 55 Roman" w:hAnsi="HelveticaNeueLT Pro 55 Roman"/>
                <w:i/>
                <w:iCs/>
              </w:rPr>
              <w:t>;</w:t>
            </w:r>
            <w:r w:rsidRPr="0066517D">
              <w:rPr>
                <w:rFonts w:ascii="HelveticaNeueLT Pro 55 Roman" w:hAnsi="HelveticaNeueLT Pro 55 Roman"/>
                <w:i/>
                <w:iCs/>
              </w:rPr>
              <w:t xml:space="preserve"> Utas Gender-based Violence Action Plan 2025-2026; University Colleges Australia Safer College Communities Framework</w:t>
            </w:r>
            <w:r>
              <w:rPr>
                <w:rFonts w:ascii="HelveticaNeueLT Pro 55 Roman" w:hAnsi="HelveticaNeueLT Pro 55 Roman"/>
                <w:i/>
                <w:iCs/>
              </w:rPr>
              <w:t xml:space="preserve">; </w:t>
            </w:r>
            <w:r>
              <w:rPr>
                <w:rFonts w:ascii="HelveticaNeueLT Pro 55 Roman" w:hAnsi="HelveticaNeueLT Pro 55 Roman"/>
              </w:rPr>
              <w:t>Culture Committee and wider student body</w:t>
            </w:r>
          </w:p>
        </w:tc>
      </w:tr>
      <w:tr w:rsidR="00B238D4" w:rsidRPr="006D1B82" w14:paraId="749971B1" w14:textId="77777777" w:rsidTr="00B238D4">
        <w:tc>
          <w:tcPr>
            <w:tcW w:w="562" w:type="dxa"/>
            <w:vMerge/>
            <w:shd w:val="clear" w:color="auto" w:fill="EEECE1" w:themeFill="background2"/>
          </w:tcPr>
          <w:p w14:paraId="39FE18BB" w14:textId="77777777" w:rsidR="00B238D4" w:rsidRDefault="00B238D4" w:rsidP="00705E60">
            <w:pPr>
              <w:spacing w:after="0"/>
              <w:rPr>
                <w:rFonts w:ascii="HelveticaNeueLT Pro 55 Roman" w:hAnsi="HelveticaNeueLT Pro 55 Roman"/>
              </w:rPr>
            </w:pPr>
          </w:p>
        </w:tc>
        <w:tc>
          <w:tcPr>
            <w:tcW w:w="4678" w:type="dxa"/>
          </w:tcPr>
          <w:p w14:paraId="2176CCD4" w14:textId="5D20080A" w:rsidR="00B238D4" w:rsidRDefault="00B238D4" w:rsidP="00705E60">
            <w:pPr>
              <w:spacing w:after="0"/>
              <w:rPr>
                <w:rFonts w:ascii="HelveticaNeueLT Pro 55 Roman" w:hAnsi="HelveticaNeueLT Pro 55 Roman"/>
              </w:rPr>
            </w:pPr>
            <w:r>
              <w:rPr>
                <w:rFonts w:ascii="HelveticaNeueLT Pro 55 Roman" w:hAnsi="HelveticaNeueLT Pro 55 Roman"/>
              </w:rPr>
              <w:t xml:space="preserve">Conduct </w:t>
            </w:r>
            <w:r w:rsidR="00F94FC1">
              <w:rPr>
                <w:rFonts w:ascii="HelveticaNeueLT Pro 55 Roman" w:hAnsi="HelveticaNeueLT Pro 55 Roman"/>
              </w:rPr>
              <w:t xml:space="preserve">a </w:t>
            </w:r>
            <w:r>
              <w:rPr>
                <w:rFonts w:ascii="HelveticaNeueLT Pro 55 Roman" w:hAnsi="HelveticaNeueLT Pro 55 Roman"/>
              </w:rPr>
              <w:t>Whole-of-</w:t>
            </w:r>
            <w:proofErr w:type="spellStart"/>
            <w:r>
              <w:rPr>
                <w:rFonts w:ascii="HelveticaNeueLT Pro 55 Roman" w:hAnsi="HelveticaNeueLT Pro 55 Roman"/>
              </w:rPr>
              <w:t>organisation</w:t>
            </w:r>
            <w:proofErr w:type="spellEnd"/>
            <w:r>
              <w:rPr>
                <w:rFonts w:ascii="HelveticaNeueLT Pro 55 Roman" w:hAnsi="HelveticaNeueLT Pro 55 Roman"/>
              </w:rPr>
              <w:t xml:space="preserve"> Risk Assessment </w:t>
            </w:r>
          </w:p>
        </w:tc>
        <w:tc>
          <w:tcPr>
            <w:tcW w:w="1843" w:type="dxa"/>
          </w:tcPr>
          <w:p w14:paraId="659CA02E" w14:textId="740DF998" w:rsidR="00B238D4" w:rsidRDefault="00B238D4" w:rsidP="00705E60">
            <w:pPr>
              <w:spacing w:after="0"/>
              <w:rPr>
                <w:rFonts w:ascii="HelveticaNeueLT Pro 55 Roman" w:hAnsi="HelveticaNeueLT Pro 55 Roman"/>
              </w:rPr>
            </w:pPr>
            <w:r>
              <w:rPr>
                <w:rFonts w:ascii="HelveticaNeueLT Pro 55 Roman" w:hAnsi="HelveticaNeueLT Pro 55 Roman"/>
              </w:rPr>
              <w:t xml:space="preserve">Principal </w:t>
            </w:r>
          </w:p>
        </w:tc>
        <w:tc>
          <w:tcPr>
            <w:tcW w:w="1843" w:type="dxa"/>
          </w:tcPr>
          <w:p w14:paraId="44B9E345" w14:textId="425911FD" w:rsidR="00B238D4" w:rsidRDefault="00B238D4" w:rsidP="00705E60">
            <w:pPr>
              <w:spacing w:after="0"/>
              <w:rPr>
                <w:rFonts w:ascii="HelveticaNeueLT Pro 55 Roman" w:hAnsi="HelveticaNeueLT Pro 55 Roman"/>
              </w:rPr>
            </w:pPr>
            <w:r>
              <w:rPr>
                <w:rFonts w:ascii="HelveticaNeueLT Pro 55 Roman" w:hAnsi="HelveticaNeueLT Pro 55 Roman"/>
              </w:rPr>
              <w:t xml:space="preserve">Q1 2026 and each March thereafter </w:t>
            </w:r>
          </w:p>
        </w:tc>
        <w:tc>
          <w:tcPr>
            <w:tcW w:w="4636" w:type="dxa"/>
          </w:tcPr>
          <w:p w14:paraId="2A50B0C0" w14:textId="4670FEA9" w:rsidR="00B238D4" w:rsidRPr="0066517D" w:rsidRDefault="00B238D4" w:rsidP="00705E60">
            <w:pPr>
              <w:spacing w:after="0"/>
              <w:rPr>
                <w:rFonts w:ascii="HelveticaNeueLT Pro 55 Roman" w:hAnsi="HelveticaNeueLT Pro 55 Roman"/>
              </w:rPr>
            </w:pPr>
            <w:r>
              <w:rPr>
                <w:rFonts w:ascii="HelveticaNeueLT Pro 55 Roman" w:hAnsi="HelveticaNeueLT Pro 55 Roman"/>
                <w:i/>
                <w:iCs/>
              </w:rPr>
              <w:t xml:space="preserve">Jane Whole of College Gender-based Violence (GBV) Risk Assessment Template; </w:t>
            </w:r>
            <w:r w:rsidRPr="0066517D">
              <w:rPr>
                <w:rFonts w:ascii="HelveticaNeueLT Pro 55 Roman" w:hAnsi="HelveticaNeueLT Pro 55 Roman"/>
              </w:rPr>
              <w:t>Culture Committee and wider student body</w:t>
            </w:r>
            <w:r>
              <w:rPr>
                <w:rFonts w:ascii="HelveticaNeueLT Pro 55 Roman" w:hAnsi="HelveticaNeueLT Pro 55 Roman"/>
                <w:i/>
                <w:iCs/>
              </w:rPr>
              <w:t xml:space="preserve"> </w:t>
            </w:r>
          </w:p>
        </w:tc>
      </w:tr>
      <w:tr w:rsidR="00B238D4" w:rsidRPr="006D1B82" w14:paraId="4A29411A" w14:textId="77777777" w:rsidTr="00B238D4">
        <w:tc>
          <w:tcPr>
            <w:tcW w:w="562" w:type="dxa"/>
            <w:shd w:val="clear" w:color="auto" w:fill="EEECE1" w:themeFill="background2"/>
          </w:tcPr>
          <w:p w14:paraId="5673CE10" w14:textId="1EDFF415" w:rsidR="00B238D4" w:rsidRPr="00867A19" w:rsidRDefault="00B238D4" w:rsidP="00705E60">
            <w:pPr>
              <w:spacing w:after="0"/>
              <w:rPr>
                <w:rFonts w:ascii="HelveticaNeueLT Pro 55 Roman" w:hAnsi="HelveticaNeueLT Pro 55 Roman"/>
                <w:b/>
                <w:bCs/>
              </w:rPr>
            </w:pPr>
            <w:r w:rsidRPr="00867A19">
              <w:rPr>
                <w:rFonts w:ascii="HelveticaNeueLT Pro 55 Roman" w:hAnsi="HelveticaNeueLT Pro 55 Roman"/>
                <w:b/>
                <w:bCs/>
              </w:rPr>
              <w:t xml:space="preserve">7.3 </w:t>
            </w:r>
          </w:p>
        </w:tc>
        <w:tc>
          <w:tcPr>
            <w:tcW w:w="4678" w:type="dxa"/>
          </w:tcPr>
          <w:p w14:paraId="1E718A32" w14:textId="78EDD0E5" w:rsidR="00B238D4" w:rsidRDefault="00B238D4" w:rsidP="00705E60">
            <w:pPr>
              <w:spacing w:after="0"/>
              <w:rPr>
                <w:rFonts w:ascii="HelveticaNeueLT Pro 55 Roman" w:hAnsi="HelveticaNeueLT Pro 55 Roman"/>
              </w:rPr>
            </w:pPr>
            <w:r>
              <w:rPr>
                <w:rFonts w:ascii="HelveticaNeueLT Pro 55 Roman" w:hAnsi="HelveticaNeueLT Pro 55 Roman"/>
              </w:rPr>
              <w:t xml:space="preserve">Monitor and Review Prevention and Response Plan </w:t>
            </w:r>
          </w:p>
        </w:tc>
        <w:tc>
          <w:tcPr>
            <w:tcW w:w="1843" w:type="dxa"/>
          </w:tcPr>
          <w:p w14:paraId="04CF669A" w14:textId="0607FC13" w:rsidR="00B238D4" w:rsidRDefault="00B238D4" w:rsidP="00705E60">
            <w:pPr>
              <w:spacing w:after="0"/>
              <w:rPr>
                <w:rFonts w:ascii="HelveticaNeueLT Pro 55 Roman" w:hAnsi="HelveticaNeueLT Pro 55 Roman"/>
              </w:rPr>
            </w:pPr>
            <w:r>
              <w:rPr>
                <w:rFonts w:ascii="HelveticaNeueLT Pro 55 Roman" w:hAnsi="HelveticaNeueLT Pro 55 Roman"/>
              </w:rPr>
              <w:t xml:space="preserve">Principal, Culture Committee, Council </w:t>
            </w:r>
          </w:p>
        </w:tc>
        <w:tc>
          <w:tcPr>
            <w:tcW w:w="1843" w:type="dxa"/>
          </w:tcPr>
          <w:p w14:paraId="239FCB88" w14:textId="6626AABC" w:rsidR="00B238D4" w:rsidRDefault="00B238D4" w:rsidP="00705E60">
            <w:pPr>
              <w:spacing w:after="0"/>
              <w:rPr>
                <w:rFonts w:ascii="HelveticaNeueLT Pro 55 Roman" w:hAnsi="HelveticaNeueLT Pro 55 Roman"/>
              </w:rPr>
            </w:pPr>
            <w:r>
              <w:rPr>
                <w:rFonts w:ascii="HelveticaNeueLT Pro 55 Roman" w:hAnsi="HelveticaNeueLT Pro 55 Roman"/>
              </w:rPr>
              <w:t xml:space="preserve">Q2 annually by Culture Committee; every four years by Council </w:t>
            </w:r>
          </w:p>
        </w:tc>
        <w:tc>
          <w:tcPr>
            <w:tcW w:w="4636" w:type="dxa"/>
          </w:tcPr>
          <w:p w14:paraId="444FF2FA" w14:textId="7470DFA9" w:rsidR="00B238D4" w:rsidRDefault="00B238D4" w:rsidP="00705E60">
            <w:pPr>
              <w:spacing w:after="0"/>
              <w:rPr>
                <w:rFonts w:ascii="HelveticaNeueLT Pro 55 Roman" w:hAnsi="HelveticaNeueLT Pro 55 Roman"/>
              </w:rPr>
            </w:pPr>
          </w:p>
        </w:tc>
      </w:tr>
      <w:bookmarkEnd w:id="0"/>
    </w:tbl>
    <w:p w14:paraId="162CD2C2" w14:textId="77777777" w:rsidR="003E65CE" w:rsidRPr="006D1B82" w:rsidRDefault="003E65CE" w:rsidP="00705E60">
      <w:pPr>
        <w:spacing w:after="0"/>
        <w:rPr>
          <w:rFonts w:ascii="HelveticaNeueLT Pro 55 Roman" w:hAnsi="HelveticaNeueLT Pro 55 Roman"/>
        </w:rPr>
      </w:pPr>
    </w:p>
    <w:p w14:paraId="499E6906" w14:textId="77777777" w:rsidR="00B93F7A" w:rsidRDefault="00B93F7A" w:rsidP="006D1B82">
      <w:pPr>
        <w:spacing w:after="0"/>
        <w:rPr>
          <w:rFonts w:ascii="HelveticaNeueLT Pro 55 Roman" w:hAnsi="HelveticaNeueLT Pro 55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1843"/>
        <w:gridCol w:w="1843"/>
        <w:gridCol w:w="4432"/>
        <w:gridCol w:w="204"/>
      </w:tblGrid>
      <w:tr w:rsidR="00B238D4" w:rsidRPr="0035418C" w14:paraId="6E6908A4" w14:textId="77777777" w:rsidTr="00066148">
        <w:tc>
          <w:tcPr>
            <w:tcW w:w="13562" w:type="dxa"/>
            <w:gridSpan w:val="6"/>
          </w:tcPr>
          <w:p w14:paraId="690B37D0" w14:textId="3650D023" w:rsidR="00B238D4" w:rsidRPr="0035418C" w:rsidRDefault="00B238D4" w:rsidP="00A27E19">
            <w:pPr>
              <w:spacing w:after="0"/>
              <w:rPr>
                <w:rFonts w:ascii="HelveticaNeueLT Pro 55 Roman" w:hAnsi="HelveticaNeueLT Pro 55 Roman"/>
                <w:b/>
                <w:bCs/>
              </w:rPr>
            </w:pPr>
            <w:r w:rsidRPr="003515FD">
              <w:rPr>
                <w:rFonts w:ascii="HelveticaNeueLT Pro 55 Roman" w:hAnsi="HelveticaNeueLT Pro 55 Roman"/>
                <w:b/>
                <w:bCs/>
                <w:color w:val="3F0065"/>
              </w:rPr>
              <w:t xml:space="preserve">Safe Environments and Systems  </w:t>
            </w:r>
          </w:p>
        </w:tc>
      </w:tr>
      <w:tr w:rsidR="00867A19" w:rsidRPr="0035418C" w14:paraId="39CFB812" w14:textId="77777777" w:rsidTr="00867A19">
        <w:trPr>
          <w:gridAfter w:val="1"/>
          <w:wAfter w:w="204" w:type="dxa"/>
        </w:trPr>
        <w:tc>
          <w:tcPr>
            <w:tcW w:w="562" w:type="dxa"/>
            <w:vMerge w:val="restart"/>
            <w:shd w:val="clear" w:color="auto" w:fill="EEECE1" w:themeFill="background2"/>
          </w:tcPr>
          <w:p w14:paraId="29DF66AB" w14:textId="71400D21" w:rsidR="00867A19" w:rsidRPr="0035418C" w:rsidRDefault="00867A19" w:rsidP="00A27E19">
            <w:pPr>
              <w:spacing w:after="0"/>
              <w:rPr>
                <w:rFonts w:ascii="HelveticaNeueLT Pro 55 Roman" w:hAnsi="HelveticaNeueLT Pro 55 Roman"/>
                <w:b/>
                <w:bCs/>
              </w:rPr>
            </w:pPr>
            <w:r>
              <w:rPr>
                <w:rFonts w:ascii="HelveticaNeueLT Pro 55 Roman" w:hAnsi="HelveticaNeueLT Pro 55 Roman"/>
                <w:b/>
                <w:bCs/>
              </w:rPr>
              <w:t>7.4</w:t>
            </w:r>
          </w:p>
        </w:tc>
        <w:tc>
          <w:tcPr>
            <w:tcW w:w="4678" w:type="dxa"/>
            <w:shd w:val="clear" w:color="auto" w:fill="EEECE1" w:themeFill="background2"/>
          </w:tcPr>
          <w:p w14:paraId="4E7D72DD" w14:textId="1B8DCC32" w:rsidR="00867A19" w:rsidRPr="0035418C" w:rsidRDefault="00867A19" w:rsidP="00A27E19">
            <w:pPr>
              <w:spacing w:after="0"/>
              <w:rPr>
                <w:rFonts w:ascii="HelveticaNeueLT Pro 55 Roman" w:hAnsi="HelveticaNeueLT Pro 55 Roman"/>
                <w:b/>
                <w:bCs/>
              </w:rPr>
            </w:pPr>
            <w:r w:rsidRPr="0035418C">
              <w:rPr>
                <w:rFonts w:ascii="HelveticaNeueLT Pro 55 Roman" w:hAnsi="HelveticaNeueLT Pro 55 Roman"/>
                <w:b/>
                <w:bCs/>
              </w:rPr>
              <w:t>Action</w:t>
            </w:r>
          </w:p>
        </w:tc>
        <w:tc>
          <w:tcPr>
            <w:tcW w:w="1843" w:type="dxa"/>
            <w:shd w:val="clear" w:color="auto" w:fill="EEECE1" w:themeFill="background2"/>
          </w:tcPr>
          <w:p w14:paraId="3DAC68B8" w14:textId="77777777" w:rsidR="00867A19" w:rsidRPr="0035418C" w:rsidRDefault="00867A19" w:rsidP="00A27E19">
            <w:pPr>
              <w:spacing w:after="0"/>
              <w:rPr>
                <w:rFonts w:ascii="HelveticaNeueLT Pro 55 Roman" w:hAnsi="HelveticaNeueLT Pro 55 Roman"/>
                <w:b/>
                <w:bCs/>
              </w:rPr>
            </w:pPr>
            <w:r w:rsidRPr="0035418C">
              <w:rPr>
                <w:rFonts w:ascii="HelveticaNeueLT Pro 55 Roman" w:hAnsi="HelveticaNeueLT Pro 55 Roman"/>
                <w:b/>
                <w:bCs/>
              </w:rPr>
              <w:t>Responsible</w:t>
            </w:r>
          </w:p>
        </w:tc>
        <w:tc>
          <w:tcPr>
            <w:tcW w:w="1843" w:type="dxa"/>
            <w:shd w:val="clear" w:color="auto" w:fill="EEECE1" w:themeFill="background2"/>
          </w:tcPr>
          <w:p w14:paraId="1A3A2BEB" w14:textId="77777777" w:rsidR="00867A19" w:rsidRPr="0035418C" w:rsidRDefault="00867A19" w:rsidP="00A27E19">
            <w:pPr>
              <w:spacing w:after="0"/>
              <w:rPr>
                <w:rFonts w:ascii="HelveticaNeueLT Pro 55 Roman" w:hAnsi="HelveticaNeueLT Pro 55 Roman"/>
                <w:b/>
                <w:bCs/>
              </w:rPr>
            </w:pPr>
            <w:r w:rsidRPr="0035418C">
              <w:rPr>
                <w:rFonts w:ascii="HelveticaNeueLT Pro 55 Roman" w:hAnsi="HelveticaNeueLT Pro 55 Roman"/>
                <w:b/>
                <w:bCs/>
              </w:rPr>
              <w:t>Timeline</w:t>
            </w:r>
          </w:p>
        </w:tc>
        <w:tc>
          <w:tcPr>
            <w:tcW w:w="4432" w:type="dxa"/>
            <w:shd w:val="clear" w:color="auto" w:fill="EEECE1" w:themeFill="background2"/>
          </w:tcPr>
          <w:p w14:paraId="44B39E61" w14:textId="77777777" w:rsidR="00867A19" w:rsidRPr="0035418C" w:rsidRDefault="00867A19" w:rsidP="00A27E19">
            <w:pPr>
              <w:spacing w:after="0"/>
              <w:rPr>
                <w:rFonts w:ascii="HelveticaNeueLT Pro 55 Roman" w:hAnsi="HelveticaNeueLT Pro 55 Roman"/>
                <w:b/>
                <w:bCs/>
              </w:rPr>
            </w:pPr>
            <w:r w:rsidRPr="0035418C">
              <w:rPr>
                <w:rFonts w:ascii="HelveticaNeueLT Pro 55 Roman" w:hAnsi="HelveticaNeueLT Pro 55 Roman"/>
                <w:b/>
                <w:bCs/>
              </w:rPr>
              <w:t>Resources</w:t>
            </w:r>
          </w:p>
        </w:tc>
      </w:tr>
      <w:tr w:rsidR="00867A19" w:rsidRPr="0066517D" w14:paraId="63DB4C8A" w14:textId="77777777" w:rsidTr="00867A19">
        <w:trPr>
          <w:gridAfter w:val="1"/>
          <w:wAfter w:w="204" w:type="dxa"/>
        </w:trPr>
        <w:tc>
          <w:tcPr>
            <w:tcW w:w="562" w:type="dxa"/>
            <w:vMerge/>
            <w:shd w:val="clear" w:color="auto" w:fill="EEECE1" w:themeFill="background2"/>
          </w:tcPr>
          <w:p w14:paraId="13B4BE20" w14:textId="77777777" w:rsidR="00867A19" w:rsidRDefault="00867A19" w:rsidP="00B238D4">
            <w:pPr>
              <w:spacing w:after="0"/>
              <w:rPr>
                <w:rFonts w:ascii="HelveticaNeueLT Pro 55 Roman" w:hAnsi="HelveticaNeueLT Pro 55 Roman"/>
              </w:rPr>
            </w:pPr>
          </w:p>
        </w:tc>
        <w:tc>
          <w:tcPr>
            <w:tcW w:w="4678" w:type="dxa"/>
          </w:tcPr>
          <w:p w14:paraId="70D5534B" w14:textId="518076AC"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Develop process for staff to declare prior investigations for GBV</w:t>
            </w:r>
          </w:p>
        </w:tc>
        <w:tc>
          <w:tcPr>
            <w:tcW w:w="1843" w:type="dxa"/>
          </w:tcPr>
          <w:p w14:paraId="42E94C66" w14:textId="4855836B"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 xml:space="preserve">Principal </w:t>
            </w:r>
          </w:p>
        </w:tc>
        <w:tc>
          <w:tcPr>
            <w:tcW w:w="1843" w:type="dxa"/>
          </w:tcPr>
          <w:p w14:paraId="0B24AB1E" w14:textId="139F7F08"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 xml:space="preserve">Q1 2026 and subsequently with staff onboarding </w:t>
            </w:r>
          </w:p>
        </w:tc>
        <w:tc>
          <w:tcPr>
            <w:tcW w:w="4432" w:type="dxa"/>
          </w:tcPr>
          <w:p w14:paraId="18C54B02" w14:textId="08546CAD" w:rsidR="00867A19" w:rsidRPr="00867A19" w:rsidRDefault="00E26D89" w:rsidP="00B238D4">
            <w:pPr>
              <w:spacing w:after="0"/>
              <w:rPr>
                <w:rFonts w:ascii="HelveticaNeueLT Pro 55 Roman" w:hAnsi="HelveticaNeueLT Pro 55 Roman"/>
              </w:rPr>
            </w:pPr>
            <w:r>
              <w:rPr>
                <w:rFonts w:ascii="HelveticaNeueLT Pro 55 Roman" w:hAnsi="HelveticaNeueLT Pro 55 Roman"/>
              </w:rPr>
              <w:t xml:space="preserve">Draft </w:t>
            </w:r>
            <w:r w:rsidR="00867A19" w:rsidRPr="00F94FC1">
              <w:rPr>
                <w:rFonts w:ascii="HelveticaNeueLT Pro 55 Roman" w:hAnsi="HelveticaNeueLT Pro 55 Roman"/>
                <w:i/>
                <w:iCs/>
              </w:rPr>
              <w:t>Jane College Gender-Based Violence Declaration</w:t>
            </w:r>
            <w:r w:rsidR="00867A19" w:rsidRPr="00867A19">
              <w:rPr>
                <w:rFonts w:ascii="HelveticaNeueLT Pro 55 Roman" w:hAnsi="HelveticaNeueLT Pro 55 Roman"/>
              </w:rPr>
              <w:t xml:space="preserve"> (in process of gaining legal advice)</w:t>
            </w:r>
          </w:p>
        </w:tc>
      </w:tr>
      <w:tr w:rsidR="00867A19" w:rsidRPr="0066517D" w14:paraId="407B7741" w14:textId="77777777" w:rsidTr="00867A19">
        <w:trPr>
          <w:gridAfter w:val="1"/>
          <w:wAfter w:w="204" w:type="dxa"/>
        </w:trPr>
        <w:tc>
          <w:tcPr>
            <w:tcW w:w="562" w:type="dxa"/>
            <w:vMerge/>
            <w:shd w:val="clear" w:color="auto" w:fill="EEECE1" w:themeFill="background2"/>
          </w:tcPr>
          <w:p w14:paraId="343B8AB4" w14:textId="77777777" w:rsidR="00867A19" w:rsidRDefault="00867A19" w:rsidP="00B238D4">
            <w:pPr>
              <w:spacing w:after="0"/>
              <w:rPr>
                <w:rFonts w:ascii="HelveticaNeueLT Pro 55 Roman" w:hAnsi="HelveticaNeueLT Pro 55 Roman"/>
              </w:rPr>
            </w:pPr>
          </w:p>
        </w:tc>
        <w:tc>
          <w:tcPr>
            <w:tcW w:w="4678" w:type="dxa"/>
          </w:tcPr>
          <w:p w14:paraId="6F14288A" w14:textId="2DE8C871"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 xml:space="preserve">Develop process for staff to declare </w:t>
            </w:r>
            <w:r w:rsidR="00E26D89">
              <w:rPr>
                <w:rFonts w:ascii="HelveticaNeueLT Pro 55 Roman" w:hAnsi="HelveticaNeueLT Pro 55 Roman"/>
              </w:rPr>
              <w:t xml:space="preserve">existing or previous intimate relationships with students </w:t>
            </w:r>
          </w:p>
        </w:tc>
        <w:tc>
          <w:tcPr>
            <w:tcW w:w="1843" w:type="dxa"/>
          </w:tcPr>
          <w:p w14:paraId="7364313D" w14:textId="3606FE29"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 xml:space="preserve">Principal </w:t>
            </w:r>
          </w:p>
        </w:tc>
        <w:tc>
          <w:tcPr>
            <w:tcW w:w="1843" w:type="dxa"/>
          </w:tcPr>
          <w:p w14:paraId="65C1DBC8" w14:textId="45513214"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 xml:space="preserve">Q1 2026 and subsequently with staff onboarding </w:t>
            </w:r>
          </w:p>
        </w:tc>
        <w:tc>
          <w:tcPr>
            <w:tcW w:w="4432" w:type="dxa"/>
          </w:tcPr>
          <w:p w14:paraId="591973C7" w14:textId="5B19D02E" w:rsidR="00867A19" w:rsidRPr="00867A19" w:rsidRDefault="00E26D89" w:rsidP="00B238D4">
            <w:pPr>
              <w:spacing w:after="0"/>
              <w:rPr>
                <w:rFonts w:ascii="HelveticaNeueLT Pro 55 Roman" w:hAnsi="HelveticaNeueLT Pro 55 Roman"/>
              </w:rPr>
            </w:pPr>
            <w:r>
              <w:rPr>
                <w:rFonts w:ascii="HelveticaNeueLT Pro 55 Roman" w:hAnsi="HelveticaNeueLT Pro 55 Roman"/>
              </w:rPr>
              <w:t xml:space="preserve">Draft </w:t>
            </w:r>
            <w:r w:rsidR="00867A19" w:rsidRPr="00F94FC1">
              <w:rPr>
                <w:rFonts w:ascii="HelveticaNeueLT Pro 55 Roman" w:hAnsi="HelveticaNeueLT Pro 55 Roman"/>
                <w:i/>
                <w:iCs/>
              </w:rPr>
              <w:t xml:space="preserve">Jane College </w:t>
            </w:r>
            <w:r w:rsidRPr="00F94FC1">
              <w:rPr>
                <w:rFonts w:ascii="HelveticaNeueLT Pro 55 Roman" w:hAnsi="HelveticaNeueLT Pro 55 Roman"/>
                <w:i/>
                <w:iCs/>
              </w:rPr>
              <w:t>existing or previous intimate relationships Declaration</w:t>
            </w:r>
            <w:r>
              <w:rPr>
                <w:rFonts w:ascii="HelveticaNeueLT Pro 55 Roman" w:hAnsi="HelveticaNeueLT Pro 55 Roman"/>
              </w:rPr>
              <w:t xml:space="preserve"> (</w:t>
            </w:r>
            <w:r w:rsidR="00867A19" w:rsidRPr="00867A19">
              <w:rPr>
                <w:rFonts w:ascii="HelveticaNeueLT Pro 55 Roman" w:hAnsi="HelveticaNeueLT Pro 55 Roman"/>
              </w:rPr>
              <w:t>in process of gaining legal advice)</w:t>
            </w:r>
          </w:p>
        </w:tc>
      </w:tr>
      <w:tr w:rsidR="00867A19" w14:paraId="2946E356" w14:textId="77777777" w:rsidTr="00867A19">
        <w:trPr>
          <w:gridAfter w:val="1"/>
          <w:wAfter w:w="204" w:type="dxa"/>
        </w:trPr>
        <w:tc>
          <w:tcPr>
            <w:tcW w:w="562" w:type="dxa"/>
            <w:vMerge/>
            <w:shd w:val="clear" w:color="auto" w:fill="EEECE1" w:themeFill="background2"/>
          </w:tcPr>
          <w:p w14:paraId="5049E10D" w14:textId="77777777" w:rsidR="00867A19" w:rsidRDefault="00867A19" w:rsidP="00B238D4">
            <w:pPr>
              <w:spacing w:after="0"/>
              <w:rPr>
                <w:rFonts w:ascii="HelveticaNeueLT Pro 55 Roman" w:hAnsi="HelveticaNeueLT Pro 55 Roman"/>
              </w:rPr>
            </w:pPr>
          </w:p>
        </w:tc>
        <w:tc>
          <w:tcPr>
            <w:tcW w:w="4678" w:type="dxa"/>
          </w:tcPr>
          <w:p w14:paraId="5B9AC9E9" w14:textId="3E7A7888"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 xml:space="preserve">Revise existing Sexual Misconduct Policy and procedure to reflect Code requirements </w:t>
            </w:r>
          </w:p>
        </w:tc>
        <w:tc>
          <w:tcPr>
            <w:tcW w:w="1843" w:type="dxa"/>
          </w:tcPr>
          <w:p w14:paraId="5C40CC8E" w14:textId="7B6ED62A"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Principal</w:t>
            </w:r>
          </w:p>
        </w:tc>
        <w:tc>
          <w:tcPr>
            <w:tcW w:w="1843" w:type="dxa"/>
          </w:tcPr>
          <w:p w14:paraId="3CF4466B" w14:textId="661B0483"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Q1 2026</w:t>
            </w:r>
          </w:p>
        </w:tc>
        <w:tc>
          <w:tcPr>
            <w:tcW w:w="4432" w:type="dxa"/>
          </w:tcPr>
          <w:p w14:paraId="023E40C1" w14:textId="35890E27" w:rsidR="00867A19" w:rsidRPr="00867A19" w:rsidRDefault="00867A19" w:rsidP="00B238D4">
            <w:pPr>
              <w:spacing w:after="0"/>
              <w:rPr>
                <w:rFonts w:ascii="HelveticaNeueLT Pro 55 Roman" w:hAnsi="HelveticaNeueLT Pro 55 Roman"/>
              </w:rPr>
            </w:pPr>
            <w:r w:rsidRPr="00867A19">
              <w:rPr>
                <w:rFonts w:ascii="HelveticaNeueLT Pro 55 Roman" w:hAnsi="HelveticaNeueLT Pro 55 Roman"/>
              </w:rPr>
              <w:t xml:space="preserve">Jane GBV Policy and Procedures </w:t>
            </w:r>
          </w:p>
        </w:tc>
      </w:tr>
    </w:tbl>
    <w:p w14:paraId="1015F224" w14:textId="77777777" w:rsidR="00B93F7A" w:rsidRDefault="00B93F7A" w:rsidP="006D1B82">
      <w:pPr>
        <w:spacing w:after="0"/>
        <w:rPr>
          <w:rFonts w:ascii="HelveticaNeueLT Pro 55 Roman" w:hAnsi="HelveticaNeueLT Pro 55 Roman"/>
          <w:b/>
        </w:rPr>
      </w:pPr>
    </w:p>
    <w:p w14:paraId="0315B42B" w14:textId="77777777" w:rsidR="00B93F7A" w:rsidRDefault="00B93F7A" w:rsidP="006D1B82">
      <w:pPr>
        <w:spacing w:after="0"/>
        <w:rPr>
          <w:rFonts w:ascii="HelveticaNeueLT Pro 55 Roman" w:hAnsi="HelveticaNeueLT Pro 55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1843"/>
        <w:gridCol w:w="1843"/>
        <w:gridCol w:w="4432"/>
      </w:tblGrid>
      <w:tr w:rsidR="00867A19" w:rsidRPr="0035418C" w14:paraId="30E7A2A3" w14:textId="77777777" w:rsidTr="002F1AA8">
        <w:tc>
          <w:tcPr>
            <w:tcW w:w="13358" w:type="dxa"/>
            <w:gridSpan w:val="5"/>
          </w:tcPr>
          <w:p w14:paraId="17ABB266" w14:textId="0F1EF2A0" w:rsidR="00867A19" w:rsidRPr="0035418C" w:rsidRDefault="00867A19" w:rsidP="00A27E19">
            <w:pPr>
              <w:spacing w:after="0"/>
              <w:rPr>
                <w:rFonts w:ascii="HelveticaNeueLT Pro 55 Roman" w:hAnsi="HelveticaNeueLT Pro 55 Roman"/>
                <w:b/>
                <w:bCs/>
              </w:rPr>
            </w:pPr>
            <w:bookmarkStart w:id="1" w:name="_Hlk216707904"/>
            <w:r w:rsidRPr="003515FD">
              <w:rPr>
                <w:rFonts w:ascii="HelveticaNeueLT Pro 55 Roman" w:hAnsi="HelveticaNeueLT Pro 55 Roman"/>
                <w:b/>
                <w:bCs/>
                <w:color w:val="3F0065"/>
              </w:rPr>
              <w:t xml:space="preserve">Knowledge and Capability </w:t>
            </w:r>
          </w:p>
        </w:tc>
      </w:tr>
      <w:tr w:rsidR="00F94FC1" w:rsidRPr="0035418C" w14:paraId="45C769C7" w14:textId="77777777" w:rsidTr="00E510C8">
        <w:tc>
          <w:tcPr>
            <w:tcW w:w="562" w:type="dxa"/>
            <w:vMerge w:val="restart"/>
            <w:shd w:val="clear" w:color="auto" w:fill="EEECE1" w:themeFill="background2"/>
          </w:tcPr>
          <w:p w14:paraId="3A7A4CA4" w14:textId="062B1B73" w:rsidR="00F94FC1" w:rsidRPr="0035418C" w:rsidRDefault="00F94FC1" w:rsidP="00A27E19">
            <w:pPr>
              <w:spacing w:after="0"/>
              <w:rPr>
                <w:rFonts w:ascii="HelveticaNeueLT Pro 55 Roman" w:hAnsi="HelveticaNeueLT Pro 55 Roman"/>
                <w:b/>
                <w:bCs/>
              </w:rPr>
            </w:pPr>
            <w:r>
              <w:rPr>
                <w:rFonts w:ascii="HelveticaNeueLT Pro 55 Roman" w:hAnsi="HelveticaNeueLT Pro 55 Roman"/>
                <w:b/>
                <w:bCs/>
              </w:rPr>
              <w:t>7.5</w:t>
            </w:r>
          </w:p>
        </w:tc>
        <w:tc>
          <w:tcPr>
            <w:tcW w:w="4678" w:type="dxa"/>
            <w:shd w:val="clear" w:color="auto" w:fill="EEECE1" w:themeFill="background2"/>
          </w:tcPr>
          <w:p w14:paraId="415707CE" w14:textId="2D79F35F"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Action</w:t>
            </w:r>
          </w:p>
        </w:tc>
        <w:tc>
          <w:tcPr>
            <w:tcW w:w="1843" w:type="dxa"/>
            <w:shd w:val="clear" w:color="auto" w:fill="EEECE1" w:themeFill="background2"/>
          </w:tcPr>
          <w:p w14:paraId="42D33357" w14:textId="77777777"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Responsible</w:t>
            </w:r>
          </w:p>
        </w:tc>
        <w:tc>
          <w:tcPr>
            <w:tcW w:w="1843" w:type="dxa"/>
            <w:shd w:val="clear" w:color="auto" w:fill="EEECE1" w:themeFill="background2"/>
          </w:tcPr>
          <w:p w14:paraId="3B6571B7" w14:textId="77777777"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Timeline</w:t>
            </w:r>
          </w:p>
        </w:tc>
        <w:tc>
          <w:tcPr>
            <w:tcW w:w="4432" w:type="dxa"/>
            <w:shd w:val="clear" w:color="auto" w:fill="EEECE1" w:themeFill="background2"/>
          </w:tcPr>
          <w:p w14:paraId="3DC83C8B" w14:textId="77777777"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Resources</w:t>
            </w:r>
          </w:p>
        </w:tc>
      </w:tr>
      <w:tr w:rsidR="00F94FC1" w:rsidRPr="0066517D" w14:paraId="710B9C4C" w14:textId="77777777" w:rsidTr="00F94FC1">
        <w:tc>
          <w:tcPr>
            <w:tcW w:w="562" w:type="dxa"/>
            <w:vMerge/>
            <w:shd w:val="clear" w:color="auto" w:fill="EEECE1" w:themeFill="background2"/>
          </w:tcPr>
          <w:p w14:paraId="6FA30CEB" w14:textId="77777777" w:rsidR="00F94FC1" w:rsidRDefault="00F94FC1" w:rsidP="00A27E19">
            <w:pPr>
              <w:spacing w:after="0"/>
              <w:rPr>
                <w:rFonts w:ascii="HelveticaNeueLT Pro 55 Roman" w:hAnsi="HelveticaNeueLT Pro 55 Roman"/>
              </w:rPr>
            </w:pPr>
          </w:p>
        </w:tc>
        <w:tc>
          <w:tcPr>
            <w:tcW w:w="4678" w:type="dxa"/>
          </w:tcPr>
          <w:p w14:paraId="0E31C380" w14:textId="2866E5B6" w:rsidR="00F94FC1" w:rsidRPr="006D1B82" w:rsidRDefault="00F94FC1" w:rsidP="00A27E19">
            <w:pPr>
              <w:spacing w:after="0"/>
              <w:rPr>
                <w:rFonts w:ascii="HelveticaNeueLT Pro 55 Roman" w:hAnsi="HelveticaNeueLT Pro 55 Roman"/>
              </w:rPr>
            </w:pPr>
            <w:r>
              <w:rPr>
                <w:rFonts w:ascii="HelveticaNeueLT Pro 55 Roman" w:hAnsi="HelveticaNeueLT Pro 55 Roman"/>
              </w:rPr>
              <w:t xml:space="preserve">Strengthen and implement evidence-based training in GBV prevention and responding for all residents </w:t>
            </w:r>
          </w:p>
        </w:tc>
        <w:tc>
          <w:tcPr>
            <w:tcW w:w="1843" w:type="dxa"/>
          </w:tcPr>
          <w:p w14:paraId="2625AE90" w14:textId="3F75BE64" w:rsidR="00F94FC1" w:rsidRPr="006D1B82" w:rsidRDefault="00F94FC1" w:rsidP="00A27E19">
            <w:pPr>
              <w:spacing w:after="0"/>
              <w:rPr>
                <w:rFonts w:ascii="HelveticaNeueLT Pro 55 Roman" w:hAnsi="HelveticaNeueLT Pro 55 Roman"/>
              </w:rPr>
            </w:pPr>
            <w:r>
              <w:rPr>
                <w:rFonts w:ascii="HelveticaNeueLT Pro 55 Roman" w:hAnsi="HelveticaNeueLT Pro 55 Roman"/>
              </w:rPr>
              <w:t xml:space="preserve">Dean of Students </w:t>
            </w:r>
          </w:p>
        </w:tc>
        <w:tc>
          <w:tcPr>
            <w:tcW w:w="1843" w:type="dxa"/>
          </w:tcPr>
          <w:p w14:paraId="0EA69279" w14:textId="1E5EFD48" w:rsidR="00F94FC1" w:rsidRPr="006D1B82" w:rsidRDefault="00F94FC1" w:rsidP="00A27E19">
            <w:pPr>
              <w:spacing w:after="0"/>
              <w:rPr>
                <w:rFonts w:ascii="HelveticaNeueLT Pro 55 Roman" w:hAnsi="HelveticaNeueLT Pro 55 Roman"/>
              </w:rPr>
            </w:pPr>
            <w:r>
              <w:rPr>
                <w:rFonts w:ascii="HelveticaNeueLT Pro 55 Roman" w:hAnsi="HelveticaNeueLT Pro 55 Roman"/>
              </w:rPr>
              <w:t xml:space="preserve">Q4 annually </w:t>
            </w:r>
          </w:p>
        </w:tc>
        <w:tc>
          <w:tcPr>
            <w:tcW w:w="4432" w:type="dxa"/>
          </w:tcPr>
          <w:p w14:paraId="274DDC5D" w14:textId="55E7698D" w:rsidR="00F94FC1" w:rsidRPr="0066517D" w:rsidRDefault="00F94FC1" w:rsidP="00A27E19">
            <w:pPr>
              <w:spacing w:after="0"/>
              <w:rPr>
                <w:rFonts w:ascii="HelveticaNeueLT Pro 55 Roman" w:hAnsi="HelveticaNeueLT Pro 55 Roman"/>
              </w:rPr>
            </w:pPr>
            <w:r>
              <w:rPr>
                <w:rFonts w:ascii="HelveticaNeueLT Pro 55 Roman" w:hAnsi="HelveticaNeueLT Pro 55 Roman"/>
              </w:rPr>
              <w:t>S</w:t>
            </w:r>
            <w:r w:rsidR="00971EAA">
              <w:rPr>
                <w:rFonts w:ascii="HelveticaNeueLT Pro 55 Roman" w:hAnsi="HelveticaNeueLT Pro 55 Roman"/>
              </w:rPr>
              <w:t>exual Assault Support Services (S</w:t>
            </w:r>
            <w:r>
              <w:rPr>
                <w:rFonts w:ascii="HelveticaNeueLT Pro 55 Roman" w:hAnsi="HelveticaNeueLT Pro 55 Roman"/>
              </w:rPr>
              <w:t>ASS</w:t>
            </w:r>
            <w:r w:rsidR="00971EAA">
              <w:rPr>
                <w:rFonts w:ascii="HelveticaNeueLT Pro 55 Roman" w:hAnsi="HelveticaNeueLT Pro 55 Roman"/>
              </w:rPr>
              <w:t>)</w:t>
            </w:r>
          </w:p>
        </w:tc>
      </w:tr>
      <w:tr w:rsidR="00F94FC1" w:rsidRPr="0066517D" w14:paraId="1A5043C1" w14:textId="77777777" w:rsidTr="00F94FC1">
        <w:tc>
          <w:tcPr>
            <w:tcW w:w="562" w:type="dxa"/>
            <w:vMerge/>
            <w:shd w:val="clear" w:color="auto" w:fill="EEECE1" w:themeFill="background2"/>
          </w:tcPr>
          <w:p w14:paraId="1BEE2B81" w14:textId="77777777" w:rsidR="00F94FC1" w:rsidRDefault="00F94FC1" w:rsidP="00A27E19">
            <w:pPr>
              <w:spacing w:after="0"/>
              <w:rPr>
                <w:rFonts w:ascii="HelveticaNeueLT Pro 55 Roman" w:hAnsi="HelveticaNeueLT Pro 55 Roman"/>
              </w:rPr>
            </w:pPr>
          </w:p>
        </w:tc>
        <w:tc>
          <w:tcPr>
            <w:tcW w:w="4678" w:type="dxa"/>
          </w:tcPr>
          <w:p w14:paraId="6577F882" w14:textId="655D8685" w:rsidR="00F94FC1" w:rsidRDefault="00F94FC1" w:rsidP="00A27E19">
            <w:pPr>
              <w:spacing w:after="0"/>
              <w:rPr>
                <w:rFonts w:ascii="HelveticaNeueLT Pro 55 Roman" w:hAnsi="HelveticaNeueLT Pro 55 Roman"/>
              </w:rPr>
            </w:pPr>
            <w:r>
              <w:rPr>
                <w:rFonts w:ascii="HelveticaNeueLT Pro 55 Roman" w:hAnsi="HelveticaNeueLT Pro 55 Roman"/>
              </w:rPr>
              <w:t>Provide evidence-based training in GBV prevention and responding for all staff</w:t>
            </w:r>
          </w:p>
        </w:tc>
        <w:tc>
          <w:tcPr>
            <w:tcW w:w="1843" w:type="dxa"/>
          </w:tcPr>
          <w:p w14:paraId="46857874" w14:textId="05075677" w:rsidR="00F94FC1" w:rsidRDefault="00F94FC1" w:rsidP="00A27E19">
            <w:pPr>
              <w:spacing w:after="0"/>
              <w:rPr>
                <w:rFonts w:ascii="HelveticaNeueLT Pro 55 Roman" w:hAnsi="HelveticaNeueLT Pro 55 Roman"/>
              </w:rPr>
            </w:pPr>
            <w:r>
              <w:rPr>
                <w:rFonts w:ascii="HelveticaNeueLT Pro 55 Roman" w:hAnsi="HelveticaNeueLT Pro 55 Roman"/>
              </w:rPr>
              <w:t xml:space="preserve">Principal </w:t>
            </w:r>
          </w:p>
        </w:tc>
        <w:tc>
          <w:tcPr>
            <w:tcW w:w="1843" w:type="dxa"/>
          </w:tcPr>
          <w:p w14:paraId="096AE332" w14:textId="1FB2BE22" w:rsidR="00F94FC1" w:rsidRDefault="00F94FC1" w:rsidP="00A27E19">
            <w:pPr>
              <w:spacing w:after="0"/>
              <w:rPr>
                <w:rFonts w:ascii="HelveticaNeueLT Pro 55 Roman" w:hAnsi="HelveticaNeueLT Pro 55 Roman"/>
              </w:rPr>
            </w:pPr>
            <w:r>
              <w:rPr>
                <w:rFonts w:ascii="HelveticaNeueLT Pro 55 Roman" w:hAnsi="HelveticaNeueLT Pro 55 Roman"/>
              </w:rPr>
              <w:t xml:space="preserve">Q2 and Q4 annually </w:t>
            </w:r>
          </w:p>
        </w:tc>
        <w:tc>
          <w:tcPr>
            <w:tcW w:w="4432" w:type="dxa"/>
          </w:tcPr>
          <w:p w14:paraId="649A9B9A" w14:textId="3810EF1B" w:rsidR="00F94FC1" w:rsidRPr="0066517D" w:rsidRDefault="00971EAA" w:rsidP="00A27E19">
            <w:pPr>
              <w:spacing w:after="0"/>
              <w:rPr>
                <w:rFonts w:ascii="HelveticaNeueLT Pro 55 Roman" w:hAnsi="HelveticaNeueLT Pro 55 Roman"/>
              </w:rPr>
            </w:pPr>
            <w:r>
              <w:rPr>
                <w:rFonts w:ascii="HelveticaNeueLT Pro 55 Roman" w:hAnsi="HelveticaNeueLT Pro 55 Roman"/>
              </w:rPr>
              <w:t xml:space="preserve">SASS </w:t>
            </w:r>
          </w:p>
        </w:tc>
      </w:tr>
      <w:tr w:rsidR="00F94FC1" w14:paraId="4D0C2563" w14:textId="77777777" w:rsidTr="00F94FC1">
        <w:tc>
          <w:tcPr>
            <w:tcW w:w="562" w:type="dxa"/>
            <w:vMerge/>
            <w:shd w:val="clear" w:color="auto" w:fill="EEECE1" w:themeFill="background2"/>
          </w:tcPr>
          <w:p w14:paraId="12F000A6" w14:textId="77777777" w:rsidR="00F94FC1" w:rsidRDefault="00F94FC1" w:rsidP="00A27E19">
            <w:pPr>
              <w:spacing w:after="0"/>
              <w:rPr>
                <w:rFonts w:ascii="HelveticaNeueLT Pro 55 Roman" w:hAnsi="HelveticaNeueLT Pro 55 Roman"/>
              </w:rPr>
            </w:pPr>
          </w:p>
        </w:tc>
        <w:tc>
          <w:tcPr>
            <w:tcW w:w="4678" w:type="dxa"/>
          </w:tcPr>
          <w:p w14:paraId="144410AB" w14:textId="1AA47650" w:rsidR="00F94FC1" w:rsidRDefault="00F94FC1" w:rsidP="00A27E19">
            <w:pPr>
              <w:spacing w:after="0"/>
              <w:rPr>
                <w:rFonts w:ascii="HelveticaNeueLT Pro 55 Roman" w:hAnsi="HelveticaNeueLT Pro 55 Roman"/>
              </w:rPr>
            </w:pPr>
            <w:r>
              <w:rPr>
                <w:rFonts w:ascii="HelveticaNeueLT Pro 55 Roman" w:hAnsi="HelveticaNeueLT Pro 55 Roman"/>
              </w:rPr>
              <w:t xml:space="preserve">Promote and disseminate prevention-based communication </w:t>
            </w:r>
          </w:p>
        </w:tc>
        <w:tc>
          <w:tcPr>
            <w:tcW w:w="1843" w:type="dxa"/>
          </w:tcPr>
          <w:p w14:paraId="12402386" w14:textId="106CA7B9" w:rsidR="00F94FC1" w:rsidRDefault="00F94FC1" w:rsidP="00A27E19">
            <w:pPr>
              <w:spacing w:after="0"/>
              <w:rPr>
                <w:rFonts w:ascii="HelveticaNeueLT Pro 55 Roman" w:hAnsi="HelveticaNeueLT Pro 55 Roman"/>
              </w:rPr>
            </w:pPr>
            <w:r>
              <w:rPr>
                <w:rFonts w:ascii="HelveticaNeueLT Pro 55 Roman" w:hAnsi="HelveticaNeueLT Pro 55 Roman"/>
              </w:rPr>
              <w:t xml:space="preserve">Dean of Students </w:t>
            </w:r>
          </w:p>
        </w:tc>
        <w:tc>
          <w:tcPr>
            <w:tcW w:w="1843" w:type="dxa"/>
          </w:tcPr>
          <w:p w14:paraId="419F9662" w14:textId="49FD4C8A" w:rsidR="00F94FC1" w:rsidRDefault="00F94FC1" w:rsidP="00A27E19">
            <w:pPr>
              <w:spacing w:after="0"/>
              <w:rPr>
                <w:rFonts w:ascii="HelveticaNeueLT Pro 55 Roman" w:hAnsi="HelveticaNeueLT Pro 55 Roman"/>
              </w:rPr>
            </w:pPr>
            <w:r>
              <w:rPr>
                <w:rFonts w:ascii="HelveticaNeueLT Pro 55 Roman" w:hAnsi="HelveticaNeueLT Pro 55 Roman"/>
              </w:rPr>
              <w:t xml:space="preserve">Ongoing </w:t>
            </w:r>
          </w:p>
        </w:tc>
        <w:tc>
          <w:tcPr>
            <w:tcW w:w="4432" w:type="dxa"/>
          </w:tcPr>
          <w:p w14:paraId="22590B1D" w14:textId="314628DD" w:rsidR="00F94FC1" w:rsidRDefault="00971EAA" w:rsidP="00A27E19">
            <w:pPr>
              <w:spacing w:after="0"/>
              <w:rPr>
                <w:rFonts w:ascii="HelveticaNeueLT Pro 55 Roman" w:hAnsi="HelveticaNeueLT Pro 55 Roman"/>
              </w:rPr>
            </w:pPr>
            <w:r w:rsidRPr="00971EAA">
              <w:rPr>
                <w:rFonts w:ascii="HelveticaNeueLT Pro 55 Roman" w:hAnsi="HelveticaNeueLT Pro 55 Roman"/>
                <w:i/>
                <w:iCs/>
              </w:rPr>
              <w:t>Statement on College Culture</w:t>
            </w:r>
            <w:r w:rsidR="00E6171C">
              <w:rPr>
                <w:rFonts w:ascii="HelveticaNeueLT Pro 55 Roman" w:hAnsi="HelveticaNeueLT Pro 55 Roman"/>
                <w:i/>
                <w:iCs/>
              </w:rPr>
              <w:t>;</w:t>
            </w:r>
            <w:r>
              <w:rPr>
                <w:rFonts w:ascii="HelveticaNeueLT Pro 55 Roman" w:hAnsi="HelveticaNeueLT Pro 55 Roman"/>
              </w:rPr>
              <w:t xml:space="preserve"> </w:t>
            </w:r>
            <w:r w:rsidRPr="00971EAA">
              <w:rPr>
                <w:rFonts w:ascii="HelveticaNeueLT Pro 55 Roman" w:hAnsi="HelveticaNeueLT Pro 55 Roman"/>
                <w:i/>
                <w:iCs/>
              </w:rPr>
              <w:t>COTR</w:t>
            </w:r>
            <w:r w:rsidR="00E6171C">
              <w:rPr>
                <w:rFonts w:ascii="HelveticaNeueLT Pro 55 Roman" w:hAnsi="HelveticaNeueLT Pro 55 Roman"/>
                <w:i/>
                <w:iCs/>
              </w:rPr>
              <w:t xml:space="preserve">; </w:t>
            </w:r>
            <w:r>
              <w:rPr>
                <w:rFonts w:ascii="HelveticaNeueLT Pro 55 Roman" w:hAnsi="HelveticaNeueLT Pro 55 Roman"/>
              </w:rPr>
              <w:t>Student Handbook</w:t>
            </w:r>
            <w:r w:rsidR="00E6171C">
              <w:rPr>
                <w:rFonts w:ascii="HelveticaNeueLT Pro 55 Roman" w:hAnsi="HelveticaNeueLT Pro 55 Roman"/>
              </w:rPr>
              <w:t>;</w:t>
            </w:r>
            <w:r>
              <w:rPr>
                <w:rFonts w:ascii="HelveticaNeueLT Pro 55 Roman" w:hAnsi="HelveticaNeueLT Pro 55 Roman"/>
              </w:rPr>
              <w:t xml:space="preserve"> training</w:t>
            </w:r>
            <w:r w:rsidR="00E6171C">
              <w:rPr>
                <w:rFonts w:ascii="HelveticaNeueLT Pro 55 Roman" w:hAnsi="HelveticaNeueLT Pro 55 Roman"/>
              </w:rPr>
              <w:t>;</w:t>
            </w:r>
            <w:r>
              <w:rPr>
                <w:rFonts w:ascii="HelveticaNeueLT Pro 55 Roman" w:hAnsi="HelveticaNeueLT Pro 55 Roman"/>
              </w:rPr>
              <w:t xml:space="preserve"> posters on noticeboards</w:t>
            </w:r>
            <w:r w:rsidR="00E6171C">
              <w:rPr>
                <w:rFonts w:ascii="HelveticaNeueLT Pro 55 Roman" w:hAnsi="HelveticaNeueLT Pro 55 Roman"/>
              </w:rPr>
              <w:t>;</w:t>
            </w:r>
            <w:r>
              <w:rPr>
                <w:rFonts w:ascii="HelveticaNeueLT Pro 55 Roman" w:hAnsi="HelveticaNeueLT Pro 55 Roman"/>
              </w:rPr>
              <w:t xml:space="preserve"> SASS</w:t>
            </w:r>
            <w:r w:rsidR="00E6171C">
              <w:rPr>
                <w:rFonts w:ascii="HelveticaNeueLT Pro 55 Roman" w:hAnsi="HelveticaNeueLT Pro 55 Roman"/>
              </w:rPr>
              <w:t xml:space="preserve">; </w:t>
            </w:r>
            <w:r w:rsidR="00E6171C" w:rsidRPr="00E6171C">
              <w:rPr>
                <w:rFonts w:ascii="HelveticaNeueLT Pro 55 Roman" w:hAnsi="HelveticaNeueLT Pro 55 Roman"/>
                <w:i/>
                <w:iCs/>
              </w:rPr>
              <w:t>Plain Sheet</w:t>
            </w:r>
            <w:r w:rsidR="00E6171C">
              <w:rPr>
                <w:rFonts w:ascii="HelveticaNeueLT Pro 55 Roman" w:hAnsi="HelveticaNeueLT Pro 55 Roman"/>
              </w:rPr>
              <w:t xml:space="preserve"> (weekly communication); SCC FB group page</w:t>
            </w:r>
            <w:r>
              <w:rPr>
                <w:rFonts w:ascii="HelveticaNeueLT Pro 55 Roman" w:hAnsi="HelveticaNeueLT Pro 55 Roman"/>
              </w:rPr>
              <w:t xml:space="preserve">  </w:t>
            </w:r>
          </w:p>
        </w:tc>
      </w:tr>
      <w:tr w:rsidR="00F94FC1" w14:paraId="7D7F8422" w14:textId="77777777" w:rsidTr="00F94FC1">
        <w:tc>
          <w:tcPr>
            <w:tcW w:w="562" w:type="dxa"/>
            <w:shd w:val="clear" w:color="auto" w:fill="EEECE1" w:themeFill="background2"/>
          </w:tcPr>
          <w:p w14:paraId="429F19FB" w14:textId="2E01F7B3" w:rsidR="00F94FC1" w:rsidRPr="009C6707" w:rsidRDefault="00F94FC1" w:rsidP="00A27E19">
            <w:pPr>
              <w:spacing w:after="0"/>
              <w:rPr>
                <w:rFonts w:ascii="HelveticaNeueLT Pro 55 Roman" w:hAnsi="HelveticaNeueLT Pro 55 Roman"/>
                <w:b/>
                <w:bCs/>
              </w:rPr>
            </w:pPr>
            <w:r w:rsidRPr="009C6707">
              <w:rPr>
                <w:rFonts w:ascii="HelveticaNeueLT Pro 55 Roman" w:hAnsi="HelveticaNeueLT Pro 55 Roman"/>
                <w:b/>
                <w:bCs/>
              </w:rPr>
              <w:t>7.6</w:t>
            </w:r>
          </w:p>
        </w:tc>
        <w:tc>
          <w:tcPr>
            <w:tcW w:w="4678" w:type="dxa"/>
          </w:tcPr>
          <w:p w14:paraId="6CB48F04" w14:textId="7EBBAE41" w:rsidR="00F94FC1" w:rsidRDefault="00F94FC1" w:rsidP="00A27E19">
            <w:pPr>
              <w:spacing w:after="0"/>
              <w:rPr>
                <w:rFonts w:ascii="HelveticaNeueLT Pro 55 Roman" w:hAnsi="HelveticaNeueLT Pro 55 Roman"/>
              </w:rPr>
            </w:pPr>
            <w:r>
              <w:rPr>
                <w:rFonts w:ascii="HelveticaNeueLT Pro 55 Roman" w:hAnsi="HelveticaNeueLT Pro 55 Roman"/>
              </w:rPr>
              <w:t>Ensure risk assessments are undertaken by those with expertise</w:t>
            </w:r>
          </w:p>
        </w:tc>
        <w:tc>
          <w:tcPr>
            <w:tcW w:w="1843" w:type="dxa"/>
          </w:tcPr>
          <w:p w14:paraId="65DF8EAD" w14:textId="76D08FD0" w:rsidR="00F94FC1" w:rsidRDefault="00F94FC1" w:rsidP="00A27E19">
            <w:pPr>
              <w:spacing w:after="0"/>
              <w:rPr>
                <w:rFonts w:ascii="HelveticaNeueLT Pro 55 Roman" w:hAnsi="HelveticaNeueLT Pro 55 Roman"/>
              </w:rPr>
            </w:pPr>
            <w:r>
              <w:rPr>
                <w:rFonts w:ascii="HelveticaNeueLT Pro 55 Roman" w:hAnsi="HelveticaNeueLT Pro 55 Roman"/>
              </w:rPr>
              <w:t>Principal and Dean of Students</w:t>
            </w:r>
          </w:p>
        </w:tc>
        <w:tc>
          <w:tcPr>
            <w:tcW w:w="1843" w:type="dxa"/>
          </w:tcPr>
          <w:p w14:paraId="4C71775C" w14:textId="5007AA54" w:rsidR="00F94FC1" w:rsidRDefault="00F94FC1" w:rsidP="00A27E19">
            <w:pPr>
              <w:spacing w:after="0"/>
              <w:rPr>
                <w:rFonts w:ascii="HelveticaNeueLT Pro 55 Roman" w:hAnsi="HelveticaNeueLT Pro 55 Roman"/>
              </w:rPr>
            </w:pPr>
            <w:r>
              <w:rPr>
                <w:rFonts w:ascii="HelveticaNeueLT Pro 55 Roman" w:hAnsi="HelveticaNeueLT Pro 55 Roman"/>
              </w:rPr>
              <w:t xml:space="preserve">As required </w:t>
            </w:r>
          </w:p>
        </w:tc>
        <w:tc>
          <w:tcPr>
            <w:tcW w:w="4432" w:type="dxa"/>
          </w:tcPr>
          <w:p w14:paraId="37FCEF92" w14:textId="41B28305" w:rsidR="00F94FC1" w:rsidRDefault="00F94FC1" w:rsidP="00A27E19">
            <w:pPr>
              <w:spacing w:after="0"/>
              <w:rPr>
                <w:rFonts w:ascii="HelveticaNeueLT Pro 55 Roman" w:hAnsi="HelveticaNeueLT Pro 55 Roman"/>
              </w:rPr>
            </w:pPr>
            <w:r>
              <w:rPr>
                <w:rFonts w:ascii="HelveticaNeueLT Pro 55 Roman" w:hAnsi="HelveticaNeueLT Pro 55 Roman"/>
              </w:rPr>
              <w:t xml:space="preserve">University of Tasmania Student Safety and Wellbeing Team </w:t>
            </w:r>
          </w:p>
        </w:tc>
      </w:tr>
      <w:bookmarkEnd w:id="1"/>
    </w:tbl>
    <w:p w14:paraId="39F59915" w14:textId="77777777" w:rsidR="00867A19" w:rsidRDefault="00867A19" w:rsidP="006D1B82">
      <w:pPr>
        <w:spacing w:after="0"/>
        <w:rPr>
          <w:rFonts w:ascii="HelveticaNeueLT Pro 55 Roman" w:hAnsi="HelveticaNeueLT Pro 55 Roman"/>
          <w:b/>
        </w:rPr>
      </w:pPr>
    </w:p>
    <w:p w14:paraId="47599662" w14:textId="77777777" w:rsidR="00867A19" w:rsidRDefault="00867A19" w:rsidP="006D1B82">
      <w:pPr>
        <w:spacing w:after="0"/>
        <w:rPr>
          <w:rFonts w:ascii="HelveticaNeueLT Pro 55 Roman" w:hAnsi="HelveticaNeueLT Pro 55 Roman"/>
          <w:b/>
        </w:rPr>
      </w:pPr>
    </w:p>
    <w:p w14:paraId="1C7DF7C1" w14:textId="77777777" w:rsidR="00867A19" w:rsidRDefault="00867A19" w:rsidP="006D1B82">
      <w:pPr>
        <w:spacing w:after="0"/>
        <w:rPr>
          <w:rFonts w:ascii="HelveticaNeueLT Pro 55 Roman" w:hAnsi="HelveticaNeueLT Pro 55 Roman"/>
          <w:b/>
        </w:rPr>
      </w:pPr>
    </w:p>
    <w:p w14:paraId="4DFE85F3" w14:textId="77777777" w:rsidR="00867A19" w:rsidRDefault="00867A19" w:rsidP="006D1B82">
      <w:pPr>
        <w:spacing w:after="0"/>
        <w:rPr>
          <w:rFonts w:ascii="HelveticaNeueLT Pro 55 Roman" w:hAnsi="HelveticaNeueLT Pro 55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678"/>
        <w:gridCol w:w="1843"/>
        <w:gridCol w:w="1843"/>
        <w:gridCol w:w="4426"/>
      </w:tblGrid>
      <w:tr w:rsidR="00F94FC1" w:rsidRPr="0035418C" w14:paraId="081B7638" w14:textId="77777777" w:rsidTr="00F94FC1">
        <w:tc>
          <w:tcPr>
            <w:tcW w:w="13352" w:type="dxa"/>
            <w:gridSpan w:val="5"/>
          </w:tcPr>
          <w:p w14:paraId="5535B2DC" w14:textId="47E83651" w:rsidR="00F94FC1" w:rsidRPr="0035418C" w:rsidRDefault="00F94FC1" w:rsidP="00A27E19">
            <w:pPr>
              <w:spacing w:after="0"/>
              <w:rPr>
                <w:rFonts w:ascii="HelveticaNeueLT Pro 55 Roman" w:hAnsi="HelveticaNeueLT Pro 55 Roman"/>
                <w:b/>
                <w:bCs/>
              </w:rPr>
            </w:pPr>
            <w:r w:rsidRPr="003515FD">
              <w:rPr>
                <w:rFonts w:ascii="HelveticaNeueLT Pro 55 Roman" w:hAnsi="HelveticaNeueLT Pro 55 Roman"/>
                <w:b/>
                <w:bCs/>
                <w:color w:val="3F0065"/>
              </w:rPr>
              <w:t xml:space="preserve">Safety and Support </w:t>
            </w:r>
          </w:p>
        </w:tc>
      </w:tr>
      <w:tr w:rsidR="00F94FC1" w:rsidRPr="0035418C" w14:paraId="41AB6575" w14:textId="77777777" w:rsidTr="009C6707">
        <w:tc>
          <w:tcPr>
            <w:tcW w:w="562" w:type="dxa"/>
            <w:tcBorders>
              <w:bottom w:val="single" w:sz="4" w:space="0" w:color="auto"/>
            </w:tcBorders>
            <w:shd w:val="clear" w:color="auto" w:fill="EEECE1" w:themeFill="background2"/>
          </w:tcPr>
          <w:p w14:paraId="0DC18F81" w14:textId="77777777" w:rsidR="00F94FC1" w:rsidRPr="0035418C" w:rsidRDefault="00F94FC1" w:rsidP="00A27E19">
            <w:pPr>
              <w:spacing w:after="0"/>
              <w:rPr>
                <w:rFonts w:ascii="HelveticaNeueLT Pro 55 Roman" w:hAnsi="HelveticaNeueLT Pro 55 Roman"/>
                <w:b/>
                <w:bCs/>
              </w:rPr>
            </w:pPr>
          </w:p>
        </w:tc>
        <w:tc>
          <w:tcPr>
            <w:tcW w:w="4678" w:type="dxa"/>
            <w:shd w:val="clear" w:color="auto" w:fill="EEECE1" w:themeFill="background2"/>
          </w:tcPr>
          <w:p w14:paraId="20930316" w14:textId="48DE286C"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Action</w:t>
            </w:r>
          </w:p>
        </w:tc>
        <w:tc>
          <w:tcPr>
            <w:tcW w:w="1843" w:type="dxa"/>
            <w:shd w:val="clear" w:color="auto" w:fill="EEECE1" w:themeFill="background2"/>
          </w:tcPr>
          <w:p w14:paraId="42EA1412" w14:textId="77777777"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Responsible</w:t>
            </w:r>
          </w:p>
        </w:tc>
        <w:tc>
          <w:tcPr>
            <w:tcW w:w="1843" w:type="dxa"/>
            <w:shd w:val="clear" w:color="auto" w:fill="EEECE1" w:themeFill="background2"/>
          </w:tcPr>
          <w:p w14:paraId="2910CF68" w14:textId="77777777"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Timeline</w:t>
            </w:r>
          </w:p>
        </w:tc>
        <w:tc>
          <w:tcPr>
            <w:tcW w:w="4426" w:type="dxa"/>
            <w:shd w:val="clear" w:color="auto" w:fill="EEECE1" w:themeFill="background2"/>
          </w:tcPr>
          <w:p w14:paraId="04F18C98" w14:textId="77777777" w:rsidR="00F94FC1" w:rsidRPr="0035418C" w:rsidRDefault="00F94FC1" w:rsidP="00A27E19">
            <w:pPr>
              <w:spacing w:after="0"/>
              <w:rPr>
                <w:rFonts w:ascii="HelveticaNeueLT Pro 55 Roman" w:hAnsi="HelveticaNeueLT Pro 55 Roman"/>
                <w:b/>
                <w:bCs/>
              </w:rPr>
            </w:pPr>
            <w:r w:rsidRPr="0035418C">
              <w:rPr>
                <w:rFonts w:ascii="HelveticaNeueLT Pro 55 Roman" w:hAnsi="HelveticaNeueLT Pro 55 Roman"/>
                <w:b/>
                <w:bCs/>
              </w:rPr>
              <w:t>Resources</w:t>
            </w:r>
          </w:p>
        </w:tc>
      </w:tr>
      <w:tr w:rsidR="009C6707" w:rsidRPr="0066517D" w14:paraId="52536C5D" w14:textId="77777777" w:rsidTr="009C6707">
        <w:tc>
          <w:tcPr>
            <w:tcW w:w="562" w:type="dxa"/>
            <w:vMerge w:val="restart"/>
            <w:shd w:val="clear" w:color="auto" w:fill="EEECE1" w:themeFill="background2"/>
          </w:tcPr>
          <w:p w14:paraId="1D08984E" w14:textId="47306097" w:rsidR="009C6707" w:rsidRPr="009C6707" w:rsidRDefault="009C6707" w:rsidP="00A27E19">
            <w:pPr>
              <w:spacing w:after="0"/>
              <w:rPr>
                <w:rFonts w:ascii="HelveticaNeueLT Pro 55 Roman" w:hAnsi="HelveticaNeueLT Pro 55 Roman"/>
                <w:b/>
                <w:bCs/>
              </w:rPr>
            </w:pPr>
            <w:r w:rsidRPr="009C6707">
              <w:rPr>
                <w:rFonts w:ascii="HelveticaNeueLT Pro 55 Roman" w:hAnsi="HelveticaNeueLT Pro 55 Roman"/>
                <w:b/>
                <w:bCs/>
              </w:rPr>
              <w:t>7.7</w:t>
            </w:r>
          </w:p>
        </w:tc>
        <w:tc>
          <w:tcPr>
            <w:tcW w:w="4678" w:type="dxa"/>
          </w:tcPr>
          <w:p w14:paraId="676002DB" w14:textId="14EAC9BC" w:rsidR="009C6707" w:rsidRPr="006D1B82" w:rsidRDefault="009C6707" w:rsidP="00A27E19">
            <w:pPr>
              <w:spacing w:after="0"/>
              <w:rPr>
                <w:rFonts w:ascii="HelveticaNeueLT Pro 55 Roman" w:hAnsi="HelveticaNeueLT Pro 55 Roman"/>
              </w:rPr>
            </w:pPr>
            <w:r>
              <w:rPr>
                <w:rFonts w:ascii="HelveticaNeueLT Pro 55 Roman" w:hAnsi="HelveticaNeueLT Pro 55 Roman"/>
              </w:rPr>
              <w:t xml:space="preserve">Provide multiple confidential reporting options including anonymous pathways </w:t>
            </w:r>
          </w:p>
        </w:tc>
        <w:tc>
          <w:tcPr>
            <w:tcW w:w="1843" w:type="dxa"/>
          </w:tcPr>
          <w:p w14:paraId="695A8517" w14:textId="4EB69C3C" w:rsidR="009C6707" w:rsidRPr="006D1B82" w:rsidRDefault="009C6707" w:rsidP="00A27E19">
            <w:pPr>
              <w:spacing w:after="0"/>
              <w:rPr>
                <w:rFonts w:ascii="HelveticaNeueLT Pro 55 Roman" w:hAnsi="HelveticaNeueLT Pro 55 Roman"/>
              </w:rPr>
            </w:pPr>
            <w:r>
              <w:rPr>
                <w:rFonts w:ascii="HelveticaNeueLT Pro 55 Roman" w:hAnsi="HelveticaNeueLT Pro 55 Roman"/>
              </w:rPr>
              <w:t>Principal</w:t>
            </w:r>
          </w:p>
        </w:tc>
        <w:tc>
          <w:tcPr>
            <w:tcW w:w="1843" w:type="dxa"/>
          </w:tcPr>
          <w:p w14:paraId="50B0B505" w14:textId="61385AE3" w:rsidR="009C6707" w:rsidRPr="006D1B82" w:rsidRDefault="009C6707" w:rsidP="00A27E19">
            <w:pPr>
              <w:spacing w:after="0"/>
              <w:rPr>
                <w:rFonts w:ascii="HelveticaNeueLT Pro 55 Roman" w:hAnsi="HelveticaNeueLT Pro 55 Roman"/>
              </w:rPr>
            </w:pPr>
            <w:r>
              <w:rPr>
                <w:rFonts w:ascii="HelveticaNeueLT Pro 55 Roman" w:hAnsi="HelveticaNeueLT Pro 55 Roman"/>
              </w:rPr>
              <w:t xml:space="preserve">Ongoing </w:t>
            </w:r>
          </w:p>
        </w:tc>
        <w:tc>
          <w:tcPr>
            <w:tcW w:w="4426" w:type="dxa"/>
          </w:tcPr>
          <w:p w14:paraId="261D6FB6" w14:textId="2EA2E95C" w:rsidR="009C6707" w:rsidRPr="0066517D" w:rsidRDefault="009C6707" w:rsidP="00A27E19">
            <w:pPr>
              <w:spacing w:after="0"/>
              <w:rPr>
                <w:rFonts w:ascii="HelveticaNeueLT Pro 55 Roman" w:hAnsi="HelveticaNeueLT Pro 55 Roman"/>
              </w:rPr>
            </w:pPr>
            <w:r>
              <w:rPr>
                <w:rFonts w:ascii="HelveticaNeueLT Pro 55 Roman" w:hAnsi="HelveticaNeueLT Pro 55 Roman"/>
              </w:rPr>
              <w:t xml:space="preserve">Respect X; multiple internal contacts in place </w:t>
            </w:r>
            <w:proofErr w:type="spellStart"/>
            <w:r>
              <w:rPr>
                <w:rFonts w:ascii="HelveticaNeueLT Pro 55 Roman" w:hAnsi="HelveticaNeueLT Pro 55 Roman"/>
              </w:rPr>
              <w:t>eg</w:t>
            </w:r>
            <w:proofErr w:type="spellEnd"/>
            <w:r>
              <w:rPr>
                <w:rFonts w:ascii="HelveticaNeueLT Pro 55 Roman" w:hAnsi="HelveticaNeueLT Pro 55 Roman"/>
              </w:rPr>
              <w:t xml:space="preserve"> SRs, SCC, staff, GBV Policy and Procedures; University Student Safety and Wellbeing Team</w:t>
            </w:r>
          </w:p>
        </w:tc>
      </w:tr>
      <w:tr w:rsidR="009C6707" w:rsidRPr="0066517D" w14:paraId="51684E0E" w14:textId="77777777" w:rsidTr="009C6707">
        <w:tc>
          <w:tcPr>
            <w:tcW w:w="562" w:type="dxa"/>
            <w:vMerge/>
            <w:shd w:val="clear" w:color="auto" w:fill="EEECE1" w:themeFill="background2"/>
          </w:tcPr>
          <w:p w14:paraId="1E04A87C" w14:textId="77777777" w:rsidR="009C6707" w:rsidRDefault="009C6707" w:rsidP="00A27E19">
            <w:pPr>
              <w:spacing w:after="0"/>
              <w:rPr>
                <w:rFonts w:ascii="HelveticaNeueLT Pro 55 Roman" w:hAnsi="HelveticaNeueLT Pro 55 Roman"/>
              </w:rPr>
            </w:pPr>
          </w:p>
        </w:tc>
        <w:tc>
          <w:tcPr>
            <w:tcW w:w="4678" w:type="dxa"/>
          </w:tcPr>
          <w:p w14:paraId="6570FE0E" w14:textId="356716F8" w:rsidR="009C6707" w:rsidRDefault="009C6707" w:rsidP="00A27E19">
            <w:pPr>
              <w:spacing w:after="0"/>
              <w:rPr>
                <w:rFonts w:ascii="HelveticaNeueLT Pro 55 Roman" w:hAnsi="HelveticaNeueLT Pro 55 Roman"/>
              </w:rPr>
            </w:pPr>
            <w:r>
              <w:rPr>
                <w:rFonts w:ascii="HelveticaNeueLT Pro 55 Roman" w:hAnsi="HelveticaNeueLT Pro 55 Roman"/>
              </w:rPr>
              <w:t>Provide person-</w:t>
            </w:r>
            <w:proofErr w:type="spellStart"/>
            <w:r>
              <w:rPr>
                <w:rFonts w:ascii="HelveticaNeueLT Pro 55 Roman" w:hAnsi="HelveticaNeueLT Pro 55 Roman"/>
              </w:rPr>
              <w:t>centred</w:t>
            </w:r>
            <w:proofErr w:type="spellEnd"/>
            <w:r>
              <w:rPr>
                <w:rFonts w:ascii="HelveticaNeueLT Pro 55 Roman" w:hAnsi="HelveticaNeueLT Pro 55 Roman"/>
              </w:rPr>
              <w:t xml:space="preserve">, trauma-informed support systems </w:t>
            </w:r>
          </w:p>
        </w:tc>
        <w:tc>
          <w:tcPr>
            <w:tcW w:w="1843" w:type="dxa"/>
          </w:tcPr>
          <w:p w14:paraId="3ACF49DC" w14:textId="64C36943" w:rsidR="009C6707" w:rsidRDefault="009C6707" w:rsidP="00A27E19">
            <w:pPr>
              <w:spacing w:after="0"/>
              <w:rPr>
                <w:rFonts w:ascii="HelveticaNeueLT Pro 55 Roman" w:hAnsi="HelveticaNeueLT Pro 55 Roman"/>
              </w:rPr>
            </w:pPr>
            <w:r>
              <w:rPr>
                <w:rFonts w:ascii="HelveticaNeueLT Pro 55 Roman" w:hAnsi="HelveticaNeueLT Pro 55 Roman"/>
              </w:rPr>
              <w:t>Principal</w:t>
            </w:r>
          </w:p>
        </w:tc>
        <w:tc>
          <w:tcPr>
            <w:tcW w:w="1843" w:type="dxa"/>
          </w:tcPr>
          <w:p w14:paraId="3D51508B" w14:textId="68650C7E" w:rsidR="009C6707" w:rsidRDefault="009C6707" w:rsidP="00A27E19">
            <w:pPr>
              <w:spacing w:after="0"/>
              <w:rPr>
                <w:rFonts w:ascii="HelveticaNeueLT Pro 55 Roman" w:hAnsi="HelveticaNeueLT Pro 55 Roman"/>
              </w:rPr>
            </w:pPr>
            <w:r>
              <w:rPr>
                <w:rFonts w:ascii="HelveticaNeueLT Pro 55 Roman" w:hAnsi="HelveticaNeueLT Pro 55 Roman"/>
              </w:rPr>
              <w:t xml:space="preserve">Ongoing </w:t>
            </w:r>
          </w:p>
        </w:tc>
        <w:tc>
          <w:tcPr>
            <w:tcW w:w="4426" w:type="dxa"/>
          </w:tcPr>
          <w:p w14:paraId="738BB33E" w14:textId="2BBBFBF8" w:rsidR="009C6707" w:rsidRPr="0066517D" w:rsidRDefault="009C6707" w:rsidP="00A27E19">
            <w:pPr>
              <w:spacing w:after="0"/>
              <w:rPr>
                <w:rFonts w:ascii="HelveticaNeueLT Pro 55 Roman" w:hAnsi="HelveticaNeueLT Pro 55 Roman"/>
              </w:rPr>
            </w:pPr>
            <w:r>
              <w:rPr>
                <w:rFonts w:ascii="HelveticaNeueLT Pro 55 Roman" w:hAnsi="HelveticaNeueLT Pro 55 Roman"/>
              </w:rPr>
              <w:t xml:space="preserve">SASS; Dean of student; SRs; SCC; staff members; University Student Safety and Wellbeing Team </w:t>
            </w:r>
          </w:p>
        </w:tc>
      </w:tr>
      <w:tr w:rsidR="009C6707" w14:paraId="4F0F1686" w14:textId="77777777" w:rsidTr="009C6707">
        <w:tc>
          <w:tcPr>
            <w:tcW w:w="562" w:type="dxa"/>
            <w:vMerge/>
            <w:shd w:val="clear" w:color="auto" w:fill="EEECE1" w:themeFill="background2"/>
          </w:tcPr>
          <w:p w14:paraId="78E5BC69" w14:textId="77777777" w:rsidR="009C6707" w:rsidRDefault="009C6707" w:rsidP="00A27E19">
            <w:pPr>
              <w:spacing w:after="0"/>
              <w:rPr>
                <w:rFonts w:ascii="HelveticaNeueLT Pro 55 Roman" w:hAnsi="HelveticaNeueLT Pro 55 Roman"/>
              </w:rPr>
            </w:pPr>
          </w:p>
        </w:tc>
        <w:tc>
          <w:tcPr>
            <w:tcW w:w="4678" w:type="dxa"/>
          </w:tcPr>
          <w:p w14:paraId="298744BB" w14:textId="700C9E3B" w:rsidR="009C6707" w:rsidRDefault="009C6707" w:rsidP="00A27E19">
            <w:pPr>
              <w:spacing w:after="0"/>
              <w:rPr>
                <w:rFonts w:ascii="HelveticaNeueLT Pro 55 Roman" w:hAnsi="HelveticaNeueLT Pro 55 Roman"/>
              </w:rPr>
            </w:pPr>
            <w:r>
              <w:rPr>
                <w:rFonts w:ascii="HelveticaNeueLT Pro 55 Roman" w:hAnsi="HelveticaNeueLT Pro 55 Roman"/>
              </w:rPr>
              <w:t xml:space="preserve">Undertake a risk assessment to all disclosures and formal reports </w:t>
            </w:r>
          </w:p>
        </w:tc>
        <w:tc>
          <w:tcPr>
            <w:tcW w:w="1843" w:type="dxa"/>
          </w:tcPr>
          <w:p w14:paraId="45648503" w14:textId="5B5E8B01" w:rsidR="009C6707" w:rsidRDefault="009C6707" w:rsidP="00A27E19">
            <w:pPr>
              <w:spacing w:after="0"/>
              <w:rPr>
                <w:rFonts w:ascii="HelveticaNeueLT Pro 55 Roman" w:hAnsi="HelveticaNeueLT Pro 55 Roman"/>
              </w:rPr>
            </w:pPr>
            <w:r>
              <w:rPr>
                <w:rFonts w:ascii="HelveticaNeueLT Pro 55 Roman" w:hAnsi="HelveticaNeueLT Pro 55 Roman"/>
              </w:rPr>
              <w:t xml:space="preserve">Dean of Students </w:t>
            </w:r>
          </w:p>
        </w:tc>
        <w:tc>
          <w:tcPr>
            <w:tcW w:w="1843" w:type="dxa"/>
          </w:tcPr>
          <w:p w14:paraId="3C4F9E14" w14:textId="550467AB" w:rsidR="009C6707" w:rsidRDefault="009C6707" w:rsidP="00A27E19">
            <w:pPr>
              <w:spacing w:after="0"/>
              <w:rPr>
                <w:rFonts w:ascii="HelveticaNeueLT Pro 55 Roman" w:hAnsi="HelveticaNeueLT Pro 55 Roman"/>
              </w:rPr>
            </w:pPr>
            <w:r>
              <w:rPr>
                <w:rFonts w:ascii="HelveticaNeueLT Pro 55 Roman" w:hAnsi="HelveticaNeueLT Pro 55 Roman"/>
              </w:rPr>
              <w:t xml:space="preserve">As required </w:t>
            </w:r>
          </w:p>
        </w:tc>
        <w:tc>
          <w:tcPr>
            <w:tcW w:w="4426" w:type="dxa"/>
          </w:tcPr>
          <w:p w14:paraId="557044E0" w14:textId="39EBF69C" w:rsidR="009C6707" w:rsidRDefault="009C6707" w:rsidP="00A27E19">
            <w:pPr>
              <w:spacing w:after="0"/>
              <w:rPr>
                <w:rFonts w:ascii="HelveticaNeueLT Pro 55 Roman" w:hAnsi="HelveticaNeueLT Pro 55 Roman"/>
              </w:rPr>
            </w:pPr>
            <w:r>
              <w:rPr>
                <w:rFonts w:ascii="HelveticaNeueLT Pro 55 Roman" w:hAnsi="HelveticaNeueLT Pro 55 Roman"/>
              </w:rPr>
              <w:t>Jane College GBV Risk Assessment Template; University Student Safety and Wellbeing Team</w:t>
            </w:r>
          </w:p>
        </w:tc>
      </w:tr>
      <w:tr w:rsidR="009C6707" w14:paraId="0953EDC8" w14:textId="77777777" w:rsidTr="009C6707">
        <w:tc>
          <w:tcPr>
            <w:tcW w:w="562" w:type="dxa"/>
            <w:vMerge/>
            <w:shd w:val="clear" w:color="auto" w:fill="EEECE1" w:themeFill="background2"/>
          </w:tcPr>
          <w:p w14:paraId="03D5D923" w14:textId="77777777" w:rsidR="009C6707" w:rsidRDefault="009C6707" w:rsidP="00A27E19">
            <w:pPr>
              <w:spacing w:after="0"/>
              <w:rPr>
                <w:rFonts w:ascii="HelveticaNeueLT Pro 55 Roman" w:hAnsi="HelveticaNeueLT Pro 55 Roman"/>
              </w:rPr>
            </w:pPr>
          </w:p>
        </w:tc>
        <w:tc>
          <w:tcPr>
            <w:tcW w:w="4678" w:type="dxa"/>
          </w:tcPr>
          <w:p w14:paraId="10DFE1A8" w14:textId="207A031B" w:rsidR="009C6707" w:rsidRDefault="009C6707" w:rsidP="00A27E19">
            <w:pPr>
              <w:spacing w:after="0"/>
              <w:rPr>
                <w:rFonts w:ascii="HelveticaNeueLT Pro 55 Roman" w:hAnsi="HelveticaNeueLT Pro 55 Roman"/>
              </w:rPr>
            </w:pPr>
            <w:r>
              <w:rPr>
                <w:rFonts w:ascii="HelveticaNeueLT Pro 55 Roman" w:hAnsi="HelveticaNeueLT Pro 55 Roman"/>
              </w:rPr>
              <w:t>Ensure risk assessments are undertaken by those with expertise</w:t>
            </w:r>
          </w:p>
        </w:tc>
        <w:tc>
          <w:tcPr>
            <w:tcW w:w="1843" w:type="dxa"/>
          </w:tcPr>
          <w:p w14:paraId="77E0AEBD" w14:textId="77777777" w:rsidR="009C6707" w:rsidRDefault="009C6707" w:rsidP="00A27E19">
            <w:pPr>
              <w:spacing w:after="0"/>
              <w:rPr>
                <w:rFonts w:ascii="HelveticaNeueLT Pro 55 Roman" w:hAnsi="HelveticaNeueLT Pro 55 Roman"/>
              </w:rPr>
            </w:pPr>
            <w:r>
              <w:rPr>
                <w:rFonts w:ascii="HelveticaNeueLT Pro 55 Roman" w:hAnsi="HelveticaNeueLT Pro 55 Roman"/>
              </w:rPr>
              <w:t>Principal and Dean of Students</w:t>
            </w:r>
          </w:p>
        </w:tc>
        <w:tc>
          <w:tcPr>
            <w:tcW w:w="1843" w:type="dxa"/>
          </w:tcPr>
          <w:p w14:paraId="019C7828" w14:textId="77777777" w:rsidR="009C6707" w:rsidRDefault="009C6707" w:rsidP="00A27E19">
            <w:pPr>
              <w:spacing w:after="0"/>
              <w:rPr>
                <w:rFonts w:ascii="HelveticaNeueLT Pro 55 Roman" w:hAnsi="HelveticaNeueLT Pro 55 Roman"/>
              </w:rPr>
            </w:pPr>
            <w:r>
              <w:rPr>
                <w:rFonts w:ascii="HelveticaNeueLT Pro 55 Roman" w:hAnsi="HelveticaNeueLT Pro 55 Roman"/>
              </w:rPr>
              <w:t xml:space="preserve">As required </w:t>
            </w:r>
          </w:p>
        </w:tc>
        <w:tc>
          <w:tcPr>
            <w:tcW w:w="4426" w:type="dxa"/>
          </w:tcPr>
          <w:p w14:paraId="6ABA54CB" w14:textId="77777777" w:rsidR="009C6707" w:rsidRDefault="009C6707" w:rsidP="00A27E19">
            <w:pPr>
              <w:spacing w:after="0"/>
              <w:rPr>
                <w:rFonts w:ascii="HelveticaNeueLT Pro 55 Roman" w:hAnsi="HelveticaNeueLT Pro 55 Roman"/>
              </w:rPr>
            </w:pPr>
            <w:r>
              <w:rPr>
                <w:rFonts w:ascii="HelveticaNeueLT Pro 55 Roman" w:hAnsi="HelveticaNeueLT Pro 55 Roman"/>
              </w:rPr>
              <w:t xml:space="preserve">University of Tasmania Student Safety and Wellbeing Team </w:t>
            </w:r>
          </w:p>
        </w:tc>
      </w:tr>
      <w:tr w:rsidR="009C6707" w14:paraId="2951805E" w14:textId="77777777" w:rsidTr="009C6707">
        <w:tc>
          <w:tcPr>
            <w:tcW w:w="562" w:type="dxa"/>
            <w:vMerge/>
            <w:shd w:val="clear" w:color="auto" w:fill="EEECE1" w:themeFill="background2"/>
          </w:tcPr>
          <w:p w14:paraId="3136476E" w14:textId="77777777" w:rsidR="009C6707" w:rsidRDefault="009C6707" w:rsidP="00A27E19">
            <w:pPr>
              <w:spacing w:after="0"/>
              <w:rPr>
                <w:rFonts w:ascii="HelveticaNeueLT Pro 55 Roman" w:hAnsi="HelveticaNeueLT Pro 55 Roman"/>
              </w:rPr>
            </w:pPr>
          </w:p>
        </w:tc>
        <w:tc>
          <w:tcPr>
            <w:tcW w:w="4678" w:type="dxa"/>
          </w:tcPr>
          <w:p w14:paraId="0A5F1856" w14:textId="7E0B9D33" w:rsidR="009C6707" w:rsidRDefault="009C6707" w:rsidP="00A27E19">
            <w:pPr>
              <w:spacing w:after="0"/>
              <w:rPr>
                <w:rFonts w:ascii="HelveticaNeueLT Pro 55 Roman" w:hAnsi="HelveticaNeueLT Pro 55 Roman"/>
              </w:rPr>
            </w:pPr>
            <w:r>
              <w:rPr>
                <w:rFonts w:ascii="HelveticaNeueLT Pro 55 Roman" w:hAnsi="HelveticaNeueLT Pro 55 Roman"/>
              </w:rPr>
              <w:t xml:space="preserve">Implement safety measures as required </w:t>
            </w:r>
          </w:p>
        </w:tc>
        <w:tc>
          <w:tcPr>
            <w:tcW w:w="1843" w:type="dxa"/>
          </w:tcPr>
          <w:p w14:paraId="7D3558C1" w14:textId="76C43C87" w:rsidR="009C6707" w:rsidRDefault="009C6707" w:rsidP="00A27E19">
            <w:pPr>
              <w:spacing w:after="0"/>
              <w:rPr>
                <w:rFonts w:ascii="HelveticaNeueLT Pro 55 Roman" w:hAnsi="HelveticaNeueLT Pro 55 Roman"/>
              </w:rPr>
            </w:pPr>
            <w:r>
              <w:rPr>
                <w:rFonts w:ascii="HelveticaNeueLT Pro 55 Roman" w:hAnsi="HelveticaNeueLT Pro 55 Roman"/>
              </w:rPr>
              <w:t>Principal and Dean of Students</w:t>
            </w:r>
          </w:p>
        </w:tc>
        <w:tc>
          <w:tcPr>
            <w:tcW w:w="1843" w:type="dxa"/>
          </w:tcPr>
          <w:p w14:paraId="029AE931" w14:textId="4586B8F1" w:rsidR="009C6707" w:rsidRDefault="009C6707" w:rsidP="00A27E19">
            <w:pPr>
              <w:spacing w:after="0"/>
              <w:rPr>
                <w:rFonts w:ascii="HelveticaNeueLT Pro 55 Roman" w:hAnsi="HelveticaNeueLT Pro 55 Roman"/>
              </w:rPr>
            </w:pPr>
            <w:r>
              <w:rPr>
                <w:rFonts w:ascii="HelveticaNeueLT Pro 55 Roman" w:hAnsi="HelveticaNeueLT Pro 55 Roman"/>
              </w:rPr>
              <w:t xml:space="preserve">As required </w:t>
            </w:r>
          </w:p>
        </w:tc>
        <w:tc>
          <w:tcPr>
            <w:tcW w:w="4426" w:type="dxa"/>
          </w:tcPr>
          <w:p w14:paraId="0BF0A0B2" w14:textId="21079BC7" w:rsidR="009C6707" w:rsidRDefault="009C6707" w:rsidP="00A27E19">
            <w:pPr>
              <w:spacing w:after="0"/>
              <w:rPr>
                <w:rFonts w:ascii="HelveticaNeueLT Pro 55 Roman" w:hAnsi="HelveticaNeueLT Pro 55 Roman"/>
              </w:rPr>
            </w:pPr>
            <w:r>
              <w:rPr>
                <w:rFonts w:ascii="HelveticaNeueLT Pro 55 Roman" w:hAnsi="HelveticaNeueLT Pro 55 Roman"/>
              </w:rPr>
              <w:t xml:space="preserve">College Crisis Management Committee (CMC); University of Tasmania Student Safety and Wellbeing Team; Policies and Procedures </w:t>
            </w:r>
          </w:p>
        </w:tc>
      </w:tr>
      <w:tr w:rsidR="009C6707" w14:paraId="67E30502" w14:textId="77777777" w:rsidTr="009C6707">
        <w:tc>
          <w:tcPr>
            <w:tcW w:w="562" w:type="dxa"/>
            <w:vMerge/>
            <w:shd w:val="clear" w:color="auto" w:fill="EEECE1" w:themeFill="background2"/>
          </w:tcPr>
          <w:p w14:paraId="47BED9FE" w14:textId="77777777" w:rsidR="009C6707" w:rsidRDefault="009C6707" w:rsidP="00A27E19">
            <w:pPr>
              <w:spacing w:after="0"/>
              <w:rPr>
                <w:rFonts w:ascii="HelveticaNeueLT Pro 55 Roman" w:hAnsi="HelveticaNeueLT Pro 55 Roman"/>
              </w:rPr>
            </w:pPr>
          </w:p>
        </w:tc>
        <w:tc>
          <w:tcPr>
            <w:tcW w:w="4678" w:type="dxa"/>
          </w:tcPr>
          <w:p w14:paraId="7FBDC0E8" w14:textId="46C4D620" w:rsidR="009C6707" w:rsidRDefault="009C6707" w:rsidP="00A27E19">
            <w:pPr>
              <w:spacing w:after="0"/>
              <w:rPr>
                <w:rFonts w:ascii="HelveticaNeueLT Pro 55 Roman" w:hAnsi="HelveticaNeueLT Pro 55 Roman"/>
              </w:rPr>
            </w:pPr>
            <w:r>
              <w:rPr>
                <w:rFonts w:ascii="HelveticaNeueLT Pro 55 Roman" w:hAnsi="HelveticaNeueLT Pro 55 Roman"/>
              </w:rPr>
              <w:t xml:space="preserve">Develop and Implement support plans </w:t>
            </w:r>
          </w:p>
        </w:tc>
        <w:tc>
          <w:tcPr>
            <w:tcW w:w="1843" w:type="dxa"/>
          </w:tcPr>
          <w:p w14:paraId="2D9E8A1B" w14:textId="78153B4F" w:rsidR="009C6707" w:rsidRDefault="009C6707" w:rsidP="00A27E19">
            <w:pPr>
              <w:spacing w:after="0"/>
              <w:rPr>
                <w:rFonts w:ascii="HelveticaNeueLT Pro 55 Roman" w:hAnsi="HelveticaNeueLT Pro 55 Roman"/>
              </w:rPr>
            </w:pPr>
            <w:r>
              <w:rPr>
                <w:rFonts w:ascii="HelveticaNeueLT Pro 55 Roman" w:hAnsi="HelveticaNeueLT Pro 55 Roman"/>
              </w:rPr>
              <w:t xml:space="preserve">Dean of Students </w:t>
            </w:r>
          </w:p>
        </w:tc>
        <w:tc>
          <w:tcPr>
            <w:tcW w:w="1843" w:type="dxa"/>
          </w:tcPr>
          <w:p w14:paraId="3624F12C" w14:textId="3F9EC4A2" w:rsidR="009C6707" w:rsidRDefault="009C6707" w:rsidP="00A27E19">
            <w:pPr>
              <w:spacing w:after="0"/>
              <w:rPr>
                <w:rFonts w:ascii="HelveticaNeueLT Pro 55 Roman" w:hAnsi="HelveticaNeueLT Pro 55 Roman"/>
              </w:rPr>
            </w:pPr>
            <w:r>
              <w:rPr>
                <w:rFonts w:ascii="HelveticaNeueLT Pro 55 Roman" w:hAnsi="HelveticaNeueLT Pro 55 Roman"/>
              </w:rPr>
              <w:t xml:space="preserve">As required </w:t>
            </w:r>
          </w:p>
        </w:tc>
        <w:tc>
          <w:tcPr>
            <w:tcW w:w="4426" w:type="dxa"/>
          </w:tcPr>
          <w:p w14:paraId="4244E3C6" w14:textId="223FD7E5" w:rsidR="009C6707" w:rsidRDefault="009C6707" w:rsidP="00A27E19">
            <w:pPr>
              <w:spacing w:after="0"/>
              <w:rPr>
                <w:rFonts w:ascii="HelveticaNeueLT Pro 55 Roman" w:hAnsi="HelveticaNeueLT Pro 55 Roman"/>
              </w:rPr>
            </w:pPr>
            <w:r>
              <w:rPr>
                <w:rFonts w:ascii="HelveticaNeueLT Pro 55 Roman" w:hAnsi="HelveticaNeueLT Pro 55 Roman"/>
              </w:rPr>
              <w:t>Jane College support plan template; University of Tasmania Student Safety and Wellbeing Team</w:t>
            </w:r>
          </w:p>
        </w:tc>
      </w:tr>
      <w:tr w:rsidR="009C6707" w14:paraId="15E17D9D" w14:textId="77777777" w:rsidTr="009C6707">
        <w:tc>
          <w:tcPr>
            <w:tcW w:w="562" w:type="dxa"/>
            <w:vMerge/>
            <w:tcBorders>
              <w:bottom w:val="single" w:sz="4" w:space="0" w:color="auto"/>
            </w:tcBorders>
            <w:shd w:val="clear" w:color="auto" w:fill="EEECE1" w:themeFill="background2"/>
          </w:tcPr>
          <w:p w14:paraId="1E168F93" w14:textId="77777777" w:rsidR="009C6707" w:rsidRDefault="009C6707" w:rsidP="00A27E19">
            <w:pPr>
              <w:spacing w:after="0"/>
              <w:rPr>
                <w:rFonts w:ascii="HelveticaNeueLT Pro 55 Roman" w:hAnsi="HelveticaNeueLT Pro 55 Roman"/>
              </w:rPr>
            </w:pPr>
          </w:p>
        </w:tc>
        <w:tc>
          <w:tcPr>
            <w:tcW w:w="4678" w:type="dxa"/>
          </w:tcPr>
          <w:p w14:paraId="628EB60B" w14:textId="58DD7B9B" w:rsidR="009C6707" w:rsidRDefault="009C6707" w:rsidP="00A27E19">
            <w:pPr>
              <w:spacing w:after="0"/>
              <w:rPr>
                <w:rFonts w:ascii="HelveticaNeueLT Pro 55 Roman" w:hAnsi="HelveticaNeueLT Pro 55 Roman"/>
              </w:rPr>
            </w:pPr>
            <w:r>
              <w:rPr>
                <w:rFonts w:ascii="HelveticaNeueLT Pro 55 Roman" w:hAnsi="HelveticaNeueLT Pro 55 Roman"/>
              </w:rPr>
              <w:t>Maintain and strengthen formal referral networks with university and external services `</w:t>
            </w:r>
          </w:p>
        </w:tc>
        <w:tc>
          <w:tcPr>
            <w:tcW w:w="1843" w:type="dxa"/>
          </w:tcPr>
          <w:p w14:paraId="17EAB451" w14:textId="3F9D8D5F" w:rsidR="009C6707" w:rsidRDefault="009C6707" w:rsidP="00A27E19">
            <w:pPr>
              <w:spacing w:after="0"/>
              <w:rPr>
                <w:rFonts w:ascii="HelveticaNeueLT Pro 55 Roman" w:hAnsi="HelveticaNeueLT Pro 55 Roman"/>
              </w:rPr>
            </w:pPr>
            <w:r>
              <w:rPr>
                <w:rFonts w:ascii="HelveticaNeueLT Pro 55 Roman" w:hAnsi="HelveticaNeueLT Pro 55 Roman"/>
              </w:rPr>
              <w:t xml:space="preserve">Dean of Students </w:t>
            </w:r>
          </w:p>
        </w:tc>
        <w:tc>
          <w:tcPr>
            <w:tcW w:w="1843" w:type="dxa"/>
          </w:tcPr>
          <w:p w14:paraId="2214459E" w14:textId="72E73BED" w:rsidR="009C6707" w:rsidRDefault="009C6707" w:rsidP="00A27E19">
            <w:pPr>
              <w:spacing w:after="0"/>
              <w:rPr>
                <w:rFonts w:ascii="HelveticaNeueLT Pro 55 Roman" w:hAnsi="HelveticaNeueLT Pro 55 Roman"/>
              </w:rPr>
            </w:pPr>
            <w:r>
              <w:rPr>
                <w:rFonts w:ascii="HelveticaNeueLT Pro 55 Roman" w:hAnsi="HelveticaNeueLT Pro 55 Roman"/>
              </w:rPr>
              <w:t xml:space="preserve">Ongoing </w:t>
            </w:r>
          </w:p>
        </w:tc>
        <w:tc>
          <w:tcPr>
            <w:tcW w:w="4426" w:type="dxa"/>
          </w:tcPr>
          <w:p w14:paraId="7EBF8F18" w14:textId="7D8C903A" w:rsidR="009C6707" w:rsidRDefault="009C6707" w:rsidP="00A27E19">
            <w:pPr>
              <w:spacing w:after="0"/>
              <w:rPr>
                <w:rFonts w:ascii="HelveticaNeueLT Pro 55 Roman" w:hAnsi="HelveticaNeueLT Pro 55 Roman"/>
              </w:rPr>
            </w:pPr>
            <w:r>
              <w:rPr>
                <w:rFonts w:ascii="HelveticaNeueLT Pro 55 Roman" w:hAnsi="HelveticaNeueLT Pro 55 Roman"/>
              </w:rPr>
              <w:t>SASS; University of Tasmania Student Safety and Wellbeing Team; Positive Solutions; and others (</w:t>
            </w:r>
            <w:proofErr w:type="spellStart"/>
            <w:r>
              <w:rPr>
                <w:rFonts w:ascii="HelveticaNeueLT Pro 55 Roman" w:hAnsi="HelveticaNeueLT Pro 55 Roman"/>
              </w:rPr>
              <w:t>eg</w:t>
            </w:r>
            <w:proofErr w:type="spellEnd"/>
            <w:r>
              <w:rPr>
                <w:rFonts w:ascii="HelveticaNeueLT Pro 55 Roman" w:hAnsi="HelveticaNeueLT Pro 55 Roman"/>
              </w:rPr>
              <w:t xml:space="preserve"> police) as required </w:t>
            </w:r>
          </w:p>
        </w:tc>
      </w:tr>
      <w:tr w:rsidR="009C6707" w14:paraId="54372A4A" w14:textId="77777777" w:rsidTr="009C6707">
        <w:tc>
          <w:tcPr>
            <w:tcW w:w="562" w:type="dxa"/>
            <w:shd w:val="clear" w:color="auto" w:fill="EEECE1" w:themeFill="background2"/>
          </w:tcPr>
          <w:p w14:paraId="7B05AD7D" w14:textId="5EA46B30" w:rsidR="009C6707" w:rsidRPr="009C6707" w:rsidRDefault="009C6707" w:rsidP="00A27E19">
            <w:pPr>
              <w:spacing w:after="0"/>
              <w:rPr>
                <w:rFonts w:ascii="HelveticaNeueLT Pro 55 Roman" w:hAnsi="HelveticaNeueLT Pro 55 Roman"/>
                <w:b/>
                <w:bCs/>
              </w:rPr>
            </w:pPr>
            <w:r w:rsidRPr="009C6707">
              <w:rPr>
                <w:rFonts w:ascii="HelveticaNeueLT Pro 55 Roman" w:hAnsi="HelveticaNeueLT Pro 55 Roman"/>
                <w:b/>
                <w:bCs/>
              </w:rPr>
              <w:t>7.8</w:t>
            </w:r>
          </w:p>
        </w:tc>
        <w:tc>
          <w:tcPr>
            <w:tcW w:w="4678" w:type="dxa"/>
          </w:tcPr>
          <w:p w14:paraId="23DD9510" w14:textId="4936CF82" w:rsidR="009C6707" w:rsidRDefault="009C6707" w:rsidP="00A27E19">
            <w:pPr>
              <w:spacing w:after="0"/>
              <w:rPr>
                <w:rFonts w:ascii="HelveticaNeueLT Pro 55 Roman" w:hAnsi="HelveticaNeueLT Pro 55 Roman"/>
              </w:rPr>
            </w:pPr>
            <w:r>
              <w:rPr>
                <w:rFonts w:ascii="HelveticaNeueLT Pro 55 Roman" w:hAnsi="HelveticaNeueLT Pro 55 Roman"/>
              </w:rPr>
              <w:t>Report College GBV data to the University</w:t>
            </w:r>
          </w:p>
        </w:tc>
        <w:tc>
          <w:tcPr>
            <w:tcW w:w="1843" w:type="dxa"/>
          </w:tcPr>
          <w:p w14:paraId="06AC5C03" w14:textId="7F239AFE" w:rsidR="009C6707" w:rsidRDefault="009C6707" w:rsidP="00A27E19">
            <w:pPr>
              <w:spacing w:after="0"/>
              <w:rPr>
                <w:rFonts w:ascii="HelveticaNeueLT Pro 55 Roman" w:hAnsi="HelveticaNeueLT Pro 55 Roman"/>
              </w:rPr>
            </w:pPr>
            <w:r>
              <w:rPr>
                <w:rFonts w:ascii="HelveticaNeueLT Pro 55 Roman" w:hAnsi="HelveticaNeueLT Pro 55 Roman"/>
              </w:rPr>
              <w:t xml:space="preserve">Principal </w:t>
            </w:r>
          </w:p>
        </w:tc>
        <w:tc>
          <w:tcPr>
            <w:tcW w:w="1843" w:type="dxa"/>
          </w:tcPr>
          <w:p w14:paraId="1D52805C" w14:textId="1170721A" w:rsidR="009C6707" w:rsidRDefault="009C6707" w:rsidP="00A27E19">
            <w:pPr>
              <w:spacing w:after="0"/>
              <w:rPr>
                <w:rFonts w:ascii="HelveticaNeueLT Pro 55 Roman" w:hAnsi="HelveticaNeueLT Pro 55 Roman"/>
              </w:rPr>
            </w:pPr>
            <w:r>
              <w:rPr>
                <w:rFonts w:ascii="HelveticaNeueLT Pro 55 Roman" w:hAnsi="HelveticaNeueLT Pro 55 Roman"/>
              </w:rPr>
              <w:t xml:space="preserve">Every six months </w:t>
            </w:r>
          </w:p>
        </w:tc>
        <w:tc>
          <w:tcPr>
            <w:tcW w:w="4426" w:type="dxa"/>
          </w:tcPr>
          <w:p w14:paraId="011315C7" w14:textId="5BF33D5B" w:rsidR="009C6707" w:rsidRDefault="009C6707" w:rsidP="00A27E19">
            <w:pPr>
              <w:spacing w:after="0"/>
              <w:rPr>
                <w:rFonts w:ascii="HelveticaNeueLT Pro 55 Roman" w:hAnsi="HelveticaNeueLT Pro 55 Roman"/>
              </w:rPr>
            </w:pPr>
            <w:proofErr w:type="spellStart"/>
            <w:r>
              <w:rPr>
                <w:rFonts w:ascii="HelveticaNeueLT Pro 55 Roman" w:hAnsi="HelveticaNeueLT Pro 55 Roman"/>
              </w:rPr>
              <w:t>RespectX</w:t>
            </w:r>
            <w:proofErr w:type="spellEnd"/>
          </w:p>
        </w:tc>
      </w:tr>
      <w:tr w:rsidR="009C6707" w14:paraId="0274E705" w14:textId="77777777" w:rsidTr="009C6707">
        <w:tc>
          <w:tcPr>
            <w:tcW w:w="562" w:type="dxa"/>
            <w:shd w:val="clear" w:color="auto" w:fill="EEECE1" w:themeFill="background2"/>
          </w:tcPr>
          <w:p w14:paraId="3BD854F2" w14:textId="3790792B" w:rsidR="009C6707" w:rsidRPr="009C6707" w:rsidRDefault="009C6707" w:rsidP="00A27E19">
            <w:pPr>
              <w:spacing w:after="0"/>
              <w:rPr>
                <w:rFonts w:ascii="HelveticaNeueLT Pro 55 Roman" w:hAnsi="HelveticaNeueLT Pro 55 Roman"/>
                <w:b/>
                <w:bCs/>
              </w:rPr>
            </w:pPr>
            <w:r>
              <w:rPr>
                <w:rFonts w:ascii="HelveticaNeueLT Pro 55 Roman" w:hAnsi="HelveticaNeueLT Pro 55 Roman"/>
                <w:b/>
                <w:bCs/>
              </w:rPr>
              <w:t>7.9</w:t>
            </w:r>
          </w:p>
        </w:tc>
        <w:tc>
          <w:tcPr>
            <w:tcW w:w="4678" w:type="dxa"/>
          </w:tcPr>
          <w:p w14:paraId="753F892C" w14:textId="30261985" w:rsidR="009C6707" w:rsidRDefault="009C6707" w:rsidP="00A27E19">
            <w:pPr>
              <w:spacing w:after="0"/>
              <w:rPr>
                <w:rFonts w:ascii="HelveticaNeueLT Pro 55 Roman" w:hAnsi="HelveticaNeueLT Pro 55 Roman"/>
              </w:rPr>
            </w:pPr>
            <w:r>
              <w:rPr>
                <w:rFonts w:ascii="HelveticaNeueLT Pro 55 Roman" w:hAnsi="HelveticaNeueLT Pro 55 Roman"/>
              </w:rPr>
              <w:t xml:space="preserve">Review Deed of Affiliation with University of Tasmania to ensure compliance with Code </w:t>
            </w:r>
          </w:p>
        </w:tc>
        <w:tc>
          <w:tcPr>
            <w:tcW w:w="1843" w:type="dxa"/>
          </w:tcPr>
          <w:p w14:paraId="217E6535" w14:textId="66C4E417" w:rsidR="009C6707" w:rsidRDefault="009C6707" w:rsidP="00A27E19">
            <w:pPr>
              <w:spacing w:after="0"/>
              <w:rPr>
                <w:rFonts w:ascii="HelveticaNeueLT Pro 55 Roman" w:hAnsi="HelveticaNeueLT Pro 55 Roman"/>
              </w:rPr>
            </w:pPr>
            <w:r>
              <w:rPr>
                <w:rFonts w:ascii="HelveticaNeueLT Pro 55 Roman" w:hAnsi="HelveticaNeueLT Pro 55 Roman"/>
              </w:rPr>
              <w:t>Principal</w:t>
            </w:r>
          </w:p>
        </w:tc>
        <w:tc>
          <w:tcPr>
            <w:tcW w:w="1843" w:type="dxa"/>
          </w:tcPr>
          <w:p w14:paraId="08FD5E6D" w14:textId="0651EE7F" w:rsidR="009C6707" w:rsidRDefault="009C6707" w:rsidP="00A27E19">
            <w:pPr>
              <w:spacing w:after="0"/>
              <w:rPr>
                <w:rFonts w:ascii="HelveticaNeueLT Pro 55 Roman" w:hAnsi="HelveticaNeueLT Pro 55 Roman"/>
              </w:rPr>
            </w:pPr>
            <w:r>
              <w:rPr>
                <w:rFonts w:ascii="HelveticaNeueLT Pro 55 Roman" w:hAnsi="HelveticaNeueLT Pro 55 Roman"/>
              </w:rPr>
              <w:t>Q1 2026</w:t>
            </w:r>
          </w:p>
        </w:tc>
        <w:tc>
          <w:tcPr>
            <w:tcW w:w="4426" w:type="dxa"/>
          </w:tcPr>
          <w:p w14:paraId="7B1C299A" w14:textId="50731473" w:rsidR="009C6707" w:rsidRDefault="003515FD" w:rsidP="00A27E19">
            <w:pPr>
              <w:spacing w:after="0"/>
              <w:rPr>
                <w:rFonts w:ascii="HelveticaNeueLT Pro 55 Roman" w:hAnsi="HelveticaNeueLT Pro 55 Roman"/>
              </w:rPr>
            </w:pPr>
            <w:r>
              <w:rPr>
                <w:rFonts w:ascii="HelveticaNeueLT Pro 55 Roman" w:hAnsi="HelveticaNeueLT Pro 55 Roman"/>
              </w:rPr>
              <w:t xml:space="preserve">2022 </w:t>
            </w:r>
            <w:r w:rsidR="009C6707" w:rsidRPr="003515FD">
              <w:rPr>
                <w:rFonts w:ascii="HelveticaNeueLT Pro 55 Roman" w:hAnsi="HelveticaNeueLT Pro 55 Roman"/>
                <w:i/>
                <w:iCs/>
              </w:rPr>
              <w:t>Deed of Affiliation</w:t>
            </w:r>
            <w:r w:rsidR="009C6707">
              <w:rPr>
                <w:rFonts w:ascii="HelveticaNeueLT Pro 55 Roman" w:hAnsi="HelveticaNeueLT Pro 55 Roman"/>
              </w:rPr>
              <w:t xml:space="preserve"> </w:t>
            </w:r>
          </w:p>
        </w:tc>
      </w:tr>
    </w:tbl>
    <w:p w14:paraId="66965BA1" w14:textId="77777777" w:rsidR="00C00C87" w:rsidRDefault="00C00C87" w:rsidP="004134AA">
      <w:pPr>
        <w:spacing w:after="0"/>
        <w:rPr>
          <w:rFonts w:ascii="HelveticaNeueLT Pro 55 Roman" w:hAnsi="HelveticaNeueLT Pro 55 Roman"/>
          <w:b/>
          <w:color w:val="EA2833"/>
        </w:rPr>
      </w:pPr>
    </w:p>
    <w:p w14:paraId="69EE8A02" w14:textId="77777777" w:rsidR="00C00C87" w:rsidRDefault="00C00C87" w:rsidP="004134AA">
      <w:pPr>
        <w:spacing w:after="0"/>
        <w:rPr>
          <w:rFonts w:ascii="HelveticaNeueLT Pro 55 Roman" w:hAnsi="HelveticaNeueLT Pro 55 Roman"/>
          <w:b/>
          <w:color w:val="EA2833"/>
        </w:rPr>
      </w:pPr>
    </w:p>
    <w:p w14:paraId="347557BA" w14:textId="31461DB6" w:rsidR="004134AA" w:rsidRPr="007F17A3" w:rsidRDefault="007971D6" w:rsidP="004134AA">
      <w:pPr>
        <w:spacing w:after="0"/>
        <w:rPr>
          <w:rFonts w:ascii="HelveticaNeueLT Pro 55 Roman" w:eastAsia="Times New Roman" w:hAnsi="HelveticaNeueLT Pro 55 Roman" w:cs="Times New Roman"/>
          <w:b/>
          <w:bCs/>
          <w:color w:val="3F0065"/>
          <w:lang w:eastAsia="en-AU"/>
        </w:rPr>
      </w:pPr>
      <w:r w:rsidRPr="00885B1E">
        <w:rPr>
          <w:rFonts w:ascii="HelveticaNeueLT Pro 55 Roman" w:hAnsi="HelveticaNeueLT Pro 55 Roman"/>
          <w:b/>
          <w:color w:val="EA2833"/>
        </w:rPr>
        <w:t>6. Outcomes Framework</w:t>
      </w:r>
      <w:r w:rsidR="004134AA">
        <w:rPr>
          <w:rFonts w:ascii="HelveticaNeueLT Pro 55 Roman" w:hAnsi="HelveticaNeueLT Pro 55 Roman"/>
          <w:b/>
          <w:color w:val="EA2833"/>
        </w:rPr>
        <w:t xml:space="preserve">:  </w:t>
      </w:r>
      <w:r w:rsidR="004134AA" w:rsidRPr="009C602B">
        <w:rPr>
          <w:rFonts w:ascii="HelveticaNeueLT Pro 55 Roman" w:eastAsia="Times New Roman" w:hAnsi="HelveticaNeueLT Pro 55 Roman" w:cs="Times New Roman"/>
          <w:b/>
          <w:bCs/>
          <w:color w:val="3F0065"/>
          <w:lang w:eastAsia="en-AU"/>
        </w:rPr>
        <w:t xml:space="preserve">Jane College Gender-Based Violence Prevention </w:t>
      </w:r>
      <w:r w:rsidR="004134AA" w:rsidRPr="007F17A3">
        <w:rPr>
          <w:rFonts w:ascii="HelveticaNeueLT Pro 55 Roman" w:eastAsia="Times New Roman" w:hAnsi="HelveticaNeueLT Pro 55 Roman" w:cs="Times New Roman"/>
          <w:b/>
          <w:bCs/>
          <w:color w:val="3F0065"/>
          <w:lang w:eastAsia="en-AU"/>
        </w:rPr>
        <w:t>and</w:t>
      </w:r>
      <w:r w:rsidR="004134AA" w:rsidRPr="009C602B">
        <w:rPr>
          <w:rFonts w:ascii="HelveticaNeueLT Pro 55 Roman" w:eastAsia="Times New Roman" w:hAnsi="HelveticaNeueLT Pro 55 Roman" w:cs="Times New Roman"/>
          <w:b/>
          <w:bCs/>
          <w:color w:val="3F0065"/>
          <w:lang w:eastAsia="en-AU"/>
        </w:rPr>
        <w:t xml:space="preserve"> Response Plan, 202</w:t>
      </w:r>
      <w:r w:rsidR="004134AA">
        <w:rPr>
          <w:rFonts w:ascii="HelveticaNeueLT Pro 55 Roman" w:eastAsia="Times New Roman" w:hAnsi="HelveticaNeueLT Pro 55 Roman" w:cs="Times New Roman"/>
          <w:b/>
          <w:bCs/>
          <w:color w:val="3F0065"/>
          <w:lang w:eastAsia="en-AU"/>
        </w:rPr>
        <w:t>6</w:t>
      </w:r>
      <w:r w:rsidR="004134AA" w:rsidRPr="009C602B">
        <w:rPr>
          <w:rFonts w:ascii="HelveticaNeueLT Pro 55 Roman" w:eastAsia="Times New Roman" w:hAnsi="HelveticaNeueLT Pro 55 Roman" w:cs="Times New Roman"/>
          <w:b/>
          <w:bCs/>
          <w:color w:val="3F0065"/>
          <w:lang w:eastAsia="en-AU"/>
        </w:rPr>
        <w:t>–202</w:t>
      </w:r>
      <w:r w:rsidR="004134AA">
        <w:rPr>
          <w:rFonts w:ascii="HelveticaNeueLT Pro 55 Roman" w:eastAsia="Times New Roman" w:hAnsi="HelveticaNeueLT Pro 55 Roman" w:cs="Times New Roman"/>
          <w:b/>
          <w:bCs/>
          <w:color w:val="3F0065"/>
          <w:lang w:eastAsia="en-AU"/>
        </w:rPr>
        <w:t>9</w:t>
      </w:r>
    </w:p>
    <w:p w14:paraId="14B34B32" w14:textId="77777777" w:rsidR="004134AA" w:rsidRPr="009C602B" w:rsidRDefault="004134AA" w:rsidP="004134AA">
      <w:pPr>
        <w:spacing w:before="100" w:beforeAutospacing="1" w:after="100" w:afterAutospacing="1" w:line="240" w:lineRule="auto"/>
        <w:contextualSpacing/>
        <w:rPr>
          <w:rFonts w:ascii="HelveticaNeueLT Pro 55 Roman" w:eastAsia="Times New Roman" w:hAnsi="HelveticaNeueLT Pro 55 Roman" w:cs="Times New Roman"/>
          <w:lang w:eastAsia="en-AU"/>
        </w:rPr>
      </w:pPr>
    </w:p>
    <w:tbl>
      <w:tblPr>
        <w:tblStyle w:val="TableGrid"/>
        <w:tblW w:w="0" w:type="auto"/>
        <w:tblLook w:val="04A0" w:firstRow="1" w:lastRow="0" w:firstColumn="1" w:lastColumn="0" w:noHBand="0" w:noVBand="1"/>
      </w:tblPr>
      <w:tblGrid>
        <w:gridCol w:w="1907"/>
        <w:gridCol w:w="2739"/>
        <w:gridCol w:w="3359"/>
        <w:gridCol w:w="2066"/>
        <w:gridCol w:w="1827"/>
        <w:gridCol w:w="1664"/>
      </w:tblGrid>
      <w:tr w:rsidR="004134AA" w:rsidRPr="009C602B" w14:paraId="58AA6BA0" w14:textId="77777777" w:rsidTr="004134AA">
        <w:tc>
          <w:tcPr>
            <w:tcW w:w="0" w:type="auto"/>
            <w:shd w:val="clear" w:color="auto" w:fill="EEECE1" w:themeFill="background2"/>
            <w:hideMark/>
          </w:tcPr>
          <w:p w14:paraId="3D5881B9" w14:textId="77777777" w:rsidR="004134AA" w:rsidRPr="009C602B" w:rsidRDefault="004134AA" w:rsidP="003B5A06">
            <w:pPr>
              <w:jc w:val="center"/>
              <w:rPr>
                <w:rFonts w:ascii="HelveticaNeueLT Pro 55 Roman" w:eastAsia="Times New Roman" w:hAnsi="HelveticaNeueLT Pro 55 Roman" w:cs="Times New Roman"/>
                <w:b/>
                <w:bCs/>
                <w:lang w:eastAsia="en-AU"/>
              </w:rPr>
            </w:pPr>
            <w:r w:rsidRPr="009C602B">
              <w:rPr>
                <w:rFonts w:ascii="HelveticaNeueLT Pro 55 Roman" w:eastAsia="Times New Roman" w:hAnsi="HelveticaNeueLT Pro 55 Roman" w:cs="Times New Roman"/>
                <w:b/>
                <w:bCs/>
                <w:lang w:eastAsia="en-AU"/>
              </w:rPr>
              <w:t>Outcome Area</w:t>
            </w:r>
          </w:p>
        </w:tc>
        <w:tc>
          <w:tcPr>
            <w:tcW w:w="0" w:type="auto"/>
            <w:shd w:val="clear" w:color="auto" w:fill="EEECE1" w:themeFill="background2"/>
            <w:hideMark/>
          </w:tcPr>
          <w:p w14:paraId="077577C4" w14:textId="77777777" w:rsidR="004134AA" w:rsidRPr="009C602B" w:rsidRDefault="004134AA" w:rsidP="003B5A06">
            <w:pPr>
              <w:jc w:val="center"/>
              <w:rPr>
                <w:rFonts w:ascii="HelveticaNeueLT Pro 55 Roman" w:eastAsia="Times New Roman" w:hAnsi="HelveticaNeueLT Pro 55 Roman" w:cs="Times New Roman"/>
                <w:b/>
                <w:bCs/>
                <w:lang w:eastAsia="en-AU"/>
              </w:rPr>
            </w:pPr>
            <w:r w:rsidRPr="009C602B">
              <w:rPr>
                <w:rFonts w:ascii="HelveticaNeueLT Pro 55 Roman" w:eastAsia="Times New Roman" w:hAnsi="HelveticaNeueLT Pro 55 Roman" w:cs="Times New Roman"/>
                <w:b/>
                <w:bCs/>
                <w:lang w:eastAsia="en-AU"/>
              </w:rPr>
              <w:t>Outcome Statement</w:t>
            </w:r>
          </w:p>
        </w:tc>
        <w:tc>
          <w:tcPr>
            <w:tcW w:w="0" w:type="auto"/>
            <w:shd w:val="clear" w:color="auto" w:fill="EEECE1" w:themeFill="background2"/>
            <w:hideMark/>
          </w:tcPr>
          <w:p w14:paraId="408060B6" w14:textId="77777777" w:rsidR="004134AA" w:rsidRPr="009C602B" w:rsidRDefault="004134AA" w:rsidP="003B5A06">
            <w:pPr>
              <w:jc w:val="center"/>
              <w:rPr>
                <w:rFonts w:ascii="HelveticaNeueLT Pro 55 Roman" w:eastAsia="Times New Roman" w:hAnsi="HelveticaNeueLT Pro 55 Roman" w:cs="Times New Roman"/>
                <w:b/>
                <w:bCs/>
                <w:lang w:eastAsia="en-AU"/>
              </w:rPr>
            </w:pPr>
            <w:r w:rsidRPr="009C602B">
              <w:rPr>
                <w:rFonts w:ascii="HelveticaNeueLT Pro 55 Roman" w:eastAsia="Times New Roman" w:hAnsi="HelveticaNeueLT Pro 55 Roman" w:cs="Times New Roman"/>
                <w:b/>
                <w:bCs/>
                <w:lang w:eastAsia="en-AU"/>
              </w:rPr>
              <w:t>Indicators / Measures</w:t>
            </w:r>
          </w:p>
        </w:tc>
        <w:tc>
          <w:tcPr>
            <w:tcW w:w="0" w:type="auto"/>
            <w:shd w:val="clear" w:color="auto" w:fill="EEECE1" w:themeFill="background2"/>
            <w:hideMark/>
          </w:tcPr>
          <w:p w14:paraId="180AFD09" w14:textId="77777777" w:rsidR="004134AA" w:rsidRPr="009C602B" w:rsidRDefault="004134AA" w:rsidP="003B5A06">
            <w:pPr>
              <w:jc w:val="center"/>
              <w:rPr>
                <w:rFonts w:ascii="HelveticaNeueLT Pro 55 Roman" w:eastAsia="Times New Roman" w:hAnsi="HelveticaNeueLT Pro 55 Roman" w:cs="Times New Roman"/>
                <w:b/>
                <w:bCs/>
                <w:lang w:eastAsia="en-AU"/>
              </w:rPr>
            </w:pPr>
            <w:r w:rsidRPr="009C602B">
              <w:rPr>
                <w:rFonts w:ascii="HelveticaNeueLT Pro 55 Roman" w:eastAsia="Times New Roman" w:hAnsi="HelveticaNeueLT Pro 55 Roman" w:cs="Times New Roman"/>
                <w:b/>
                <w:bCs/>
                <w:lang w:eastAsia="en-AU"/>
              </w:rPr>
              <w:t>Data Source</w:t>
            </w:r>
          </w:p>
        </w:tc>
        <w:tc>
          <w:tcPr>
            <w:tcW w:w="0" w:type="auto"/>
            <w:shd w:val="clear" w:color="auto" w:fill="EEECE1" w:themeFill="background2"/>
            <w:hideMark/>
          </w:tcPr>
          <w:p w14:paraId="789A10B7" w14:textId="77777777" w:rsidR="004134AA" w:rsidRPr="009C602B" w:rsidRDefault="004134AA" w:rsidP="003B5A06">
            <w:pPr>
              <w:jc w:val="center"/>
              <w:rPr>
                <w:rFonts w:ascii="HelveticaNeueLT Pro 55 Roman" w:eastAsia="Times New Roman" w:hAnsi="HelveticaNeueLT Pro 55 Roman" w:cs="Times New Roman"/>
                <w:b/>
                <w:bCs/>
                <w:lang w:eastAsia="en-AU"/>
              </w:rPr>
            </w:pPr>
            <w:r w:rsidRPr="009C602B">
              <w:rPr>
                <w:rFonts w:ascii="HelveticaNeueLT Pro 55 Roman" w:eastAsia="Times New Roman" w:hAnsi="HelveticaNeueLT Pro 55 Roman" w:cs="Times New Roman"/>
                <w:b/>
                <w:bCs/>
                <w:lang w:eastAsia="en-AU"/>
              </w:rPr>
              <w:t>Reporting Frequency</w:t>
            </w:r>
          </w:p>
        </w:tc>
        <w:tc>
          <w:tcPr>
            <w:tcW w:w="0" w:type="auto"/>
            <w:shd w:val="clear" w:color="auto" w:fill="EEECE1" w:themeFill="background2"/>
            <w:hideMark/>
          </w:tcPr>
          <w:p w14:paraId="49804380" w14:textId="77777777" w:rsidR="004134AA" w:rsidRPr="009C602B" w:rsidRDefault="004134AA" w:rsidP="003B5A06">
            <w:pPr>
              <w:jc w:val="center"/>
              <w:rPr>
                <w:rFonts w:ascii="HelveticaNeueLT Pro 55 Roman" w:eastAsia="Times New Roman" w:hAnsi="HelveticaNeueLT Pro 55 Roman" w:cs="Times New Roman"/>
                <w:b/>
                <w:bCs/>
                <w:lang w:eastAsia="en-AU"/>
              </w:rPr>
            </w:pPr>
            <w:r w:rsidRPr="009C602B">
              <w:rPr>
                <w:rFonts w:ascii="HelveticaNeueLT Pro 55 Roman" w:eastAsia="Times New Roman" w:hAnsi="HelveticaNeueLT Pro 55 Roman" w:cs="Times New Roman"/>
                <w:b/>
                <w:bCs/>
                <w:lang w:eastAsia="en-AU"/>
              </w:rPr>
              <w:t>Responsible Officer</w:t>
            </w:r>
          </w:p>
        </w:tc>
      </w:tr>
      <w:tr w:rsidR="004134AA" w:rsidRPr="009C602B" w14:paraId="522709D2" w14:textId="77777777" w:rsidTr="003B5A06">
        <w:tc>
          <w:tcPr>
            <w:tcW w:w="0" w:type="auto"/>
            <w:hideMark/>
          </w:tcPr>
          <w:p w14:paraId="1CEFC912"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b/>
                <w:bCs/>
                <w:lang w:eastAsia="en-AU"/>
              </w:rPr>
              <w:t xml:space="preserve">1. Safety </w:t>
            </w:r>
            <w:r>
              <w:rPr>
                <w:rFonts w:ascii="HelveticaNeueLT Pro 55 Roman" w:eastAsia="Times New Roman" w:hAnsi="HelveticaNeueLT Pro 55 Roman" w:cs="Times New Roman"/>
                <w:b/>
                <w:bCs/>
                <w:lang w:eastAsia="en-AU"/>
              </w:rPr>
              <w:t>and</w:t>
            </w:r>
            <w:r w:rsidRPr="009C602B">
              <w:rPr>
                <w:rFonts w:ascii="HelveticaNeueLT Pro 55 Roman" w:eastAsia="Times New Roman" w:hAnsi="HelveticaNeueLT Pro 55 Roman" w:cs="Times New Roman"/>
                <w:b/>
                <w:bCs/>
                <w:lang w:eastAsia="en-AU"/>
              </w:rPr>
              <w:t xml:space="preserve"> Wellbeing</w:t>
            </w:r>
          </w:p>
        </w:tc>
        <w:tc>
          <w:tcPr>
            <w:tcW w:w="0" w:type="auto"/>
            <w:hideMark/>
          </w:tcPr>
          <w:p w14:paraId="36017941"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Students feel safe at Jane and trust College systems to address GBV.</w:t>
            </w:r>
          </w:p>
        </w:tc>
        <w:tc>
          <w:tcPr>
            <w:tcW w:w="0" w:type="auto"/>
            <w:hideMark/>
          </w:tcPr>
          <w:p w14:paraId="601E7BDF" w14:textId="77777777" w:rsidR="004134AA" w:rsidRDefault="004134AA" w:rsidP="004134AA">
            <w:pPr>
              <w:pStyle w:val="ListParagraph"/>
              <w:numPr>
                <w:ilvl w:val="0"/>
                <w:numId w:val="18"/>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95% of students reporting they feel safe in </w:t>
            </w:r>
            <w:proofErr w:type="gramStart"/>
            <w:r w:rsidRPr="004134AA">
              <w:rPr>
                <w:rFonts w:ascii="HelveticaNeueLT Pro 55 Roman" w:eastAsia="Times New Roman" w:hAnsi="HelveticaNeueLT Pro 55 Roman" w:cs="Times New Roman"/>
                <w:lang w:eastAsia="en-AU"/>
              </w:rPr>
              <w:t>College</w:t>
            </w:r>
            <w:proofErr w:type="gramEnd"/>
            <w:r w:rsidRPr="004134AA">
              <w:rPr>
                <w:rFonts w:ascii="HelveticaNeueLT Pro 55 Roman" w:eastAsia="Times New Roman" w:hAnsi="HelveticaNeueLT Pro 55 Roman" w:cs="Times New Roman"/>
                <w:lang w:eastAsia="en-AU"/>
              </w:rPr>
              <w:t xml:space="preserve"> accommodation (target </w:t>
            </w:r>
            <w:r w:rsidRPr="004134AA">
              <w:rPr>
                <w:rFonts w:ascii="Arial" w:eastAsia="Times New Roman" w:hAnsi="Arial" w:cs="Arial"/>
                <w:lang w:eastAsia="en-AU"/>
              </w:rPr>
              <w:t>↑</w:t>
            </w:r>
            <w:r w:rsidRPr="004134AA">
              <w:rPr>
                <w:rFonts w:ascii="HelveticaNeueLT Pro 55 Roman" w:eastAsia="Times New Roman" w:hAnsi="HelveticaNeueLT Pro 55 Roman" w:cs="Times New Roman"/>
                <w:lang w:eastAsia="en-AU"/>
              </w:rPr>
              <w:t xml:space="preserve"> annually) </w:t>
            </w:r>
          </w:p>
          <w:p w14:paraId="14D0CAEF" w14:textId="5491A258" w:rsidR="004134AA" w:rsidRPr="004134AA" w:rsidRDefault="004134AA" w:rsidP="004134AA">
            <w:pPr>
              <w:pStyle w:val="ListParagraph"/>
              <w:numPr>
                <w:ilvl w:val="0"/>
                <w:numId w:val="18"/>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Reduction in environmental risks identified through audits </w:t>
            </w:r>
          </w:p>
          <w:p w14:paraId="7195718D" w14:textId="74422675" w:rsidR="004134AA" w:rsidRPr="004134AA" w:rsidRDefault="004134AA" w:rsidP="004134AA">
            <w:pPr>
              <w:pStyle w:val="ListParagraph"/>
              <w:numPr>
                <w:ilvl w:val="0"/>
                <w:numId w:val="18"/>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Increased awareness of safety supports</w:t>
            </w:r>
          </w:p>
        </w:tc>
        <w:tc>
          <w:tcPr>
            <w:tcW w:w="0" w:type="auto"/>
            <w:hideMark/>
          </w:tcPr>
          <w:p w14:paraId="0D321E3E"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Annual surveys, incident reporting trends, environment audits</w:t>
            </w:r>
          </w:p>
        </w:tc>
        <w:tc>
          <w:tcPr>
            <w:tcW w:w="0" w:type="auto"/>
            <w:hideMark/>
          </w:tcPr>
          <w:p w14:paraId="56BEF947"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 xml:space="preserve">Annual </w:t>
            </w:r>
            <w:r>
              <w:rPr>
                <w:rFonts w:ascii="HelveticaNeueLT Pro 55 Roman" w:eastAsia="Times New Roman" w:hAnsi="HelveticaNeueLT Pro 55 Roman" w:cs="Times New Roman"/>
                <w:lang w:eastAsia="en-AU"/>
              </w:rPr>
              <w:t>and</w:t>
            </w:r>
            <w:r w:rsidRPr="009C602B">
              <w:rPr>
                <w:rFonts w:ascii="HelveticaNeueLT Pro 55 Roman" w:eastAsia="Times New Roman" w:hAnsi="HelveticaNeueLT Pro 55 Roman" w:cs="Times New Roman"/>
                <w:lang w:eastAsia="en-AU"/>
              </w:rPr>
              <w:t xml:space="preserve"> Quarterly summary to Culture Sub-Committee</w:t>
            </w:r>
          </w:p>
        </w:tc>
        <w:tc>
          <w:tcPr>
            <w:tcW w:w="0" w:type="auto"/>
            <w:hideMark/>
          </w:tcPr>
          <w:p w14:paraId="776E00F1"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Principal; Dean of Students</w:t>
            </w:r>
          </w:p>
        </w:tc>
      </w:tr>
      <w:tr w:rsidR="004134AA" w:rsidRPr="009C602B" w14:paraId="6F9F3FD8" w14:textId="77777777" w:rsidTr="003B5A06">
        <w:tc>
          <w:tcPr>
            <w:tcW w:w="0" w:type="auto"/>
            <w:hideMark/>
          </w:tcPr>
          <w:p w14:paraId="3EB0A943"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b/>
                <w:bCs/>
                <w:lang w:eastAsia="en-AU"/>
              </w:rPr>
              <w:t xml:space="preserve">2. Knowledge </w:t>
            </w:r>
            <w:r>
              <w:rPr>
                <w:rFonts w:ascii="HelveticaNeueLT Pro 55 Roman" w:eastAsia="Times New Roman" w:hAnsi="HelveticaNeueLT Pro 55 Roman" w:cs="Times New Roman"/>
                <w:b/>
                <w:bCs/>
                <w:lang w:eastAsia="en-AU"/>
              </w:rPr>
              <w:t>and</w:t>
            </w:r>
            <w:r w:rsidRPr="009C602B">
              <w:rPr>
                <w:rFonts w:ascii="HelveticaNeueLT Pro 55 Roman" w:eastAsia="Times New Roman" w:hAnsi="HelveticaNeueLT Pro 55 Roman" w:cs="Times New Roman"/>
                <w:b/>
                <w:bCs/>
                <w:lang w:eastAsia="en-AU"/>
              </w:rPr>
              <w:t xml:space="preserve"> Awareness</w:t>
            </w:r>
          </w:p>
        </w:tc>
        <w:tc>
          <w:tcPr>
            <w:tcW w:w="0" w:type="auto"/>
            <w:hideMark/>
          </w:tcPr>
          <w:p w14:paraId="1A5A3F5E"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Students and staff understand consent, respectful relationships and reporting options.</w:t>
            </w:r>
          </w:p>
        </w:tc>
        <w:tc>
          <w:tcPr>
            <w:tcW w:w="0" w:type="auto"/>
            <w:hideMark/>
          </w:tcPr>
          <w:p w14:paraId="629ABB5F" w14:textId="66C87428" w:rsidR="004134AA" w:rsidRDefault="004134AA" w:rsidP="004134AA">
            <w:pPr>
              <w:pStyle w:val="ListParagraph"/>
              <w:numPr>
                <w:ilvl w:val="0"/>
                <w:numId w:val="19"/>
              </w:numPr>
              <w:rPr>
                <w:rFonts w:ascii="HelveticaNeueLT Pro 55 Roman" w:eastAsia="Times New Roman" w:hAnsi="HelveticaNeueLT Pro 55 Roman" w:cs="Times New Roman"/>
                <w:lang w:eastAsia="en-AU"/>
              </w:rPr>
            </w:pPr>
            <w:r>
              <w:rPr>
                <w:rFonts w:ascii="HelveticaNeueLT Pro 55 Roman" w:eastAsia="Times New Roman" w:hAnsi="HelveticaNeueLT Pro 55 Roman" w:cs="Times New Roman"/>
                <w:lang w:eastAsia="en-AU"/>
              </w:rPr>
              <w:t>95</w:t>
            </w:r>
            <w:r w:rsidRPr="004134AA">
              <w:rPr>
                <w:rFonts w:ascii="HelveticaNeueLT Pro 55 Roman" w:eastAsia="Times New Roman" w:hAnsi="HelveticaNeueLT Pro 55 Roman" w:cs="Times New Roman"/>
                <w:lang w:eastAsia="en-AU"/>
              </w:rPr>
              <w:t xml:space="preserve">% participation in Welcome Week consent training </w:t>
            </w:r>
          </w:p>
          <w:p w14:paraId="0B16E955" w14:textId="0EA9FF00" w:rsidR="004134AA" w:rsidRDefault="004134AA" w:rsidP="004134AA">
            <w:pPr>
              <w:pStyle w:val="ListParagraph"/>
              <w:numPr>
                <w:ilvl w:val="0"/>
                <w:numId w:val="19"/>
              </w:numPr>
              <w:rPr>
                <w:rFonts w:ascii="HelveticaNeueLT Pro 55 Roman" w:eastAsia="Times New Roman" w:hAnsi="HelveticaNeueLT Pro 55 Roman" w:cs="Times New Roman"/>
                <w:lang w:eastAsia="en-AU"/>
              </w:rPr>
            </w:pPr>
            <w:r>
              <w:rPr>
                <w:rFonts w:ascii="HelveticaNeueLT Pro 55 Roman" w:eastAsia="Times New Roman" w:hAnsi="HelveticaNeueLT Pro 55 Roman" w:cs="Times New Roman"/>
                <w:lang w:eastAsia="en-AU"/>
              </w:rPr>
              <w:t>100</w:t>
            </w:r>
            <w:r w:rsidRPr="004134AA">
              <w:rPr>
                <w:rFonts w:ascii="HelveticaNeueLT Pro 55 Roman" w:eastAsia="Times New Roman" w:hAnsi="HelveticaNeueLT Pro 55 Roman" w:cs="Times New Roman"/>
                <w:lang w:eastAsia="en-AU"/>
              </w:rPr>
              <w:t>% staff completion of annual GBV training</w:t>
            </w:r>
          </w:p>
          <w:p w14:paraId="133DAC54" w14:textId="21A67D05" w:rsidR="004134AA" w:rsidRPr="004134AA" w:rsidRDefault="004134AA" w:rsidP="004134AA">
            <w:pPr>
              <w:pStyle w:val="ListParagraph"/>
              <w:numPr>
                <w:ilvl w:val="0"/>
                <w:numId w:val="19"/>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Students articulate knowledge of pathways (survey)</w:t>
            </w:r>
          </w:p>
        </w:tc>
        <w:tc>
          <w:tcPr>
            <w:tcW w:w="0" w:type="auto"/>
            <w:hideMark/>
          </w:tcPr>
          <w:p w14:paraId="4008C851"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Onboarding records, survey results</w:t>
            </w:r>
          </w:p>
        </w:tc>
        <w:tc>
          <w:tcPr>
            <w:tcW w:w="0" w:type="auto"/>
            <w:hideMark/>
          </w:tcPr>
          <w:p w14:paraId="2BF98EF0"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Annual</w:t>
            </w:r>
          </w:p>
        </w:tc>
        <w:tc>
          <w:tcPr>
            <w:tcW w:w="0" w:type="auto"/>
            <w:hideMark/>
          </w:tcPr>
          <w:p w14:paraId="1FED59EB"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Dean of Students</w:t>
            </w:r>
          </w:p>
        </w:tc>
      </w:tr>
      <w:tr w:rsidR="004134AA" w:rsidRPr="009C602B" w14:paraId="5C669983" w14:textId="77777777" w:rsidTr="003B5A06">
        <w:tc>
          <w:tcPr>
            <w:tcW w:w="0" w:type="auto"/>
            <w:hideMark/>
          </w:tcPr>
          <w:p w14:paraId="4B613981"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b/>
                <w:bCs/>
                <w:lang w:eastAsia="en-AU"/>
              </w:rPr>
              <w:lastRenderedPageBreak/>
              <w:t>3. Capability to Respond</w:t>
            </w:r>
          </w:p>
        </w:tc>
        <w:tc>
          <w:tcPr>
            <w:tcW w:w="0" w:type="auto"/>
            <w:hideMark/>
          </w:tcPr>
          <w:p w14:paraId="6BE7E366"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Staff, SRs and student leaders demonstrate confidence and competence in responding to disclosures.</w:t>
            </w:r>
          </w:p>
        </w:tc>
        <w:tc>
          <w:tcPr>
            <w:tcW w:w="0" w:type="auto"/>
            <w:hideMark/>
          </w:tcPr>
          <w:p w14:paraId="1A16D06B" w14:textId="6AD65611" w:rsidR="004134AA" w:rsidRDefault="004134AA" w:rsidP="004134AA">
            <w:pPr>
              <w:pStyle w:val="ListParagraph"/>
              <w:numPr>
                <w:ilvl w:val="0"/>
                <w:numId w:val="20"/>
              </w:numPr>
              <w:rPr>
                <w:rFonts w:ascii="HelveticaNeueLT Pro 55 Roman" w:eastAsia="Times New Roman" w:hAnsi="HelveticaNeueLT Pro 55 Roman" w:cs="Times New Roman"/>
                <w:lang w:eastAsia="en-AU"/>
              </w:rPr>
            </w:pPr>
            <w:r>
              <w:rPr>
                <w:rFonts w:ascii="HelveticaNeueLT Pro 55 Roman" w:eastAsia="Times New Roman" w:hAnsi="HelveticaNeueLT Pro 55 Roman" w:cs="Times New Roman"/>
                <w:lang w:eastAsia="en-AU"/>
              </w:rPr>
              <w:t xml:space="preserve">95% </w:t>
            </w:r>
            <w:r w:rsidRPr="004134AA">
              <w:rPr>
                <w:rFonts w:ascii="HelveticaNeueLT Pro 55 Roman" w:eastAsia="Times New Roman" w:hAnsi="HelveticaNeueLT Pro 55 Roman" w:cs="Times New Roman"/>
                <w:lang w:eastAsia="en-AU"/>
              </w:rPr>
              <w:t>S</w:t>
            </w:r>
            <w:r>
              <w:rPr>
                <w:rFonts w:ascii="HelveticaNeueLT Pro 55 Roman" w:eastAsia="Times New Roman" w:hAnsi="HelveticaNeueLT Pro 55 Roman" w:cs="Times New Roman"/>
                <w:lang w:eastAsia="en-AU"/>
              </w:rPr>
              <w:t xml:space="preserve">LT </w:t>
            </w:r>
            <w:r w:rsidRPr="004134AA">
              <w:rPr>
                <w:rFonts w:ascii="HelveticaNeueLT Pro 55 Roman" w:eastAsia="Times New Roman" w:hAnsi="HelveticaNeueLT Pro 55 Roman" w:cs="Times New Roman"/>
                <w:lang w:eastAsia="en-AU"/>
              </w:rPr>
              <w:t xml:space="preserve">training attendance </w:t>
            </w:r>
          </w:p>
          <w:p w14:paraId="7F72B75B" w14:textId="77777777" w:rsidR="004134AA" w:rsidRDefault="004134AA" w:rsidP="004134AA">
            <w:pPr>
              <w:pStyle w:val="ListParagraph"/>
              <w:numPr>
                <w:ilvl w:val="0"/>
                <w:numId w:val="20"/>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Response times meet Code expectations </w:t>
            </w:r>
          </w:p>
          <w:p w14:paraId="3A0BC295" w14:textId="296AC0C9" w:rsidR="004134AA" w:rsidRPr="004134AA" w:rsidRDefault="004134AA" w:rsidP="004134AA">
            <w:pPr>
              <w:pStyle w:val="ListParagraph"/>
              <w:numPr>
                <w:ilvl w:val="0"/>
                <w:numId w:val="20"/>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Quality-of-response reviews show trauma-informed practice</w:t>
            </w:r>
          </w:p>
        </w:tc>
        <w:tc>
          <w:tcPr>
            <w:tcW w:w="0" w:type="auto"/>
            <w:hideMark/>
          </w:tcPr>
          <w:p w14:paraId="703491C9"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Training logs, case tracking, supervision records</w:t>
            </w:r>
          </w:p>
        </w:tc>
        <w:tc>
          <w:tcPr>
            <w:tcW w:w="0" w:type="auto"/>
            <w:hideMark/>
          </w:tcPr>
          <w:p w14:paraId="2BC9CD0C"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Quarterly</w:t>
            </w:r>
          </w:p>
        </w:tc>
        <w:tc>
          <w:tcPr>
            <w:tcW w:w="0" w:type="auto"/>
            <w:hideMark/>
          </w:tcPr>
          <w:p w14:paraId="3405D7F2" w14:textId="77777777" w:rsidR="004134AA"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 xml:space="preserve">Dean of </w:t>
            </w:r>
          </w:p>
          <w:p w14:paraId="587A06E0" w14:textId="56DC9E94" w:rsidR="004134AA" w:rsidRPr="009C602B" w:rsidRDefault="004134AA" w:rsidP="004134AA">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Students</w:t>
            </w:r>
          </w:p>
        </w:tc>
      </w:tr>
      <w:tr w:rsidR="004134AA" w:rsidRPr="009C602B" w14:paraId="2E616BB0" w14:textId="77777777" w:rsidTr="003B5A06">
        <w:tc>
          <w:tcPr>
            <w:tcW w:w="0" w:type="auto"/>
            <w:hideMark/>
          </w:tcPr>
          <w:p w14:paraId="671C2422"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b/>
                <w:bCs/>
                <w:lang w:eastAsia="en-AU"/>
              </w:rPr>
              <w:t xml:space="preserve">4. Effective </w:t>
            </w:r>
            <w:r>
              <w:rPr>
                <w:rFonts w:ascii="HelveticaNeueLT Pro 55 Roman" w:eastAsia="Times New Roman" w:hAnsi="HelveticaNeueLT Pro 55 Roman" w:cs="Times New Roman"/>
                <w:b/>
                <w:bCs/>
                <w:lang w:eastAsia="en-AU"/>
              </w:rPr>
              <w:t>and</w:t>
            </w:r>
            <w:r w:rsidRPr="009C602B">
              <w:rPr>
                <w:rFonts w:ascii="HelveticaNeueLT Pro 55 Roman" w:eastAsia="Times New Roman" w:hAnsi="HelveticaNeueLT Pro 55 Roman" w:cs="Times New Roman"/>
                <w:b/>
                <w:bCs/>
                <w:lang w:eastAsia="en-AU"/>
              </w:rPr>
              <w:t xml:space="preserve"> Timely Responses</w:t>
            </w:r>
          </w:p>
        </w:tc>
        <w:tc>
          <w:tcPr>
            <w:tcW w:w="0" w:type="auto"/>
            <w:hideMark/>
          </w:tcPr>
          <w:p w14:paraId="3DA31B9F"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All disclosures of GBV are managed promptly, safely and in alignment with trauma-informed best practice and the Code.</w:t>
            </w:r>
          </w:p>
        </w:tc>
        <w:tc>
          <w:tcPr>
            <w:tcW w:w="0" w:type="auto"/>
            <w:hideMark/>
          </w:tcPr>
          <w:p w14:paraId="4951D1EE" w14:textId="77777777" w:rsidR="004134AA" w:rsidRDefault="004134AA" w:rsidP="004134AA">
            <w:pPr>
              <w:pStyle w:val="ListParagraph"/>
              <w:numPr>
                <w:ilvl w:val="0"/>
                <w:numId w:val="21"/>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100% of disclosures </w:t>
            </w:r>
            <w:proofErr w:type="gramStart"/>
            <w:r w:rsidRPr="004134AA">
              <w:rPr>
                <w:rFonts w:ascii="HelveticaNeueLT Pro 55 Roman" w:eastAsia="Times New Roman" w:hAnsi="HelveticaNeueLT Pro 55 Roman" w:cs="Times New Roman"/>
                <w:lang w:eastAsia="en-AU"/>
              </w:rPr>
              <w:t>receiving</w:t>
            </w:r>
            <w:proofErr w:type="gramEnd"/>
            <w:r w:rsidRPr="004134AA">
              <w:rPr>
                <w:rFonts w:ascii="HelveticaNeueLT Pro 55 Roman" w:eastAsia="Times New Roman" w:hAnsi="HelveticaNeueLT Pro 55 Roman" w:cs="Times New Roman"/>
                <w:lang w:eastAsia="en-AU"/>
              </w:rPr>
              <w:t xml:space="preserve"> an initial response within required timeframe </w:t>
            </w:r>
          </w:p>
          <w:p w14:paraId="4DF446C7" w14:textId="77777777" w:rsidR="004134AA" w:rsidRDefault="004134AA" w:rsidP="004134AA">
            <w:pPr>
              <w:pStyle w:val="ListParagraph"/>
              <w:numPr>
                <w:ilvl w:val="0"/>
                <w:numId w:val="21"/>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Consistent application of interim safety measures </w:t>
            </w:r>
          </w:p>
          <w:p w14:paraId="3567727D" w14:textId="1BEF7F53" w:rsidR="004134AA" w:rsidRPr="004134AA" w:rsidRDefault="004134AA" w:rsidP="004134AA">
            <w:pPr>
              <w:pStyle w:val="ListParagraph"/>
              <w:numPr>
                <w:ilvl w:val="0"/>
                <w:numId w:val="21"/>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Survivor experience feedback (anonymous)</w:t>
            </w:r>
          </w:p>
        </w:tc>
        <w:tc>
          <w:tcPr>
            <w:tcW w:w="0" w:type="auto"/>
            <w:hideMark/>
          </w:tcPr>
          <w:p w14:paraId="5C9FE313"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Case management system</w:t>
            </w:r>
          </w:p>
        </w:tc>
        <w:tc>
          <w:tcPr>
            <w:tcW w:w="0" w:type="auto"/>
            <w:hideMark/>
          </w:tcPr>
          <w:p w14:paraId="7CD73C8C"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 xml:space="preserve">Quarterly </w:t>
            </w:r>
            <w:r>
              <w:rPr>
                <w:rFonts w:ascii="HelveticaNeueLT Pro 55 Roman" w:eastAsia="Times New Roman" w:hAnsi="HelveticaNeueLT Pro 55 Roman" w:cs="Times New Roman"/>
                <w:lang w:eastAsia="en-AU"/>
              </w:rPr>
              <w:t>and</w:t>
            </w:r>
            <w:r w:rsidRPr="009C602B">
              <w:rPr>
                <w:rFonts w:ascii="HelveticaNeueLT Pro 55 Roman" w:eastAsia="Times New Roman" w:hAnsi="HelveticaNeueLT Pro 55 Roman" w:cs="Times New Roman"/>
                <w:lang w:eastAsia="en-AU"/>
              </w:rPr>
              <w:t xml:space="preserve"> Annual</w:t>
            </w:r>
          </w:p>
        </w:tc>
        <w:tc>
          <w:tcPr>
            <w:tcW w:w="0" w:type="auto"/>
            <w:hideMark/>
          </w:tcPr>
          <w:p w14:paraId="683AAF3B"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Principal; Dean of Students</w:t>
            </w:r>
          </w:p>
        </w:tc>
      </w:tr>
      <w:tr w:rsidR="004134AA" w:rsidRPr="009C602B" w14:paraId="45D00ED9" w14:textId="77777777" w:rsidTr="003B5A06">
        <w:tc>
          <w:tcPr>
            <w:tcW w:w="0" w:type="auto"/>
            <w:hideMark/>
          </w:tcPr>
          <w:p w14:paraId="6A6CFF13"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b/>
                <w:bCs/>
                <w:lang w:eastAsia="en-AU"/>
              </w:rPr>
              <w:t>5. Cultural Improvement</w:t>
            </w:r>
          </w:p>
        </w:tc>
        <w:tc>
          <w:tcPr>
            <w:tcW w:w="0" w:type="auto"/>
            <w:hideMark/>
          </w:tcPr>
          <w:p w14:paraId="72826852"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 xml:space="preserve">Jane shows measurable progress in culture, inclusion, and prevention </w:t>
            </w:r>
            <w:proofErr w:type="spellStart"/>
            <w:r w:rsidRPr="009C602B">
              <w:rPr>
                <w:rFonts w:ascii="HelveticaNeueLT Pro 55 Roman" w:eastAsia="Times New Roman" w:hAnsi="HelveticaNeueLT Pro 55 Roman" w:cs="Times New Roman"/>
                <w:lang w:eastAsia="en-AU"/>
              </w:rPr>
              <w:t>behaviours</w:t>
            </w:r>
            <w:proofErr w:type="spellEnd"/>
            <w:r w:rsidRPr="009C602B">
              <w:rPr>
                <w:rFonts w:ascii="HelveticaNeueLT Pro 55 Roman" w:eastAsia="Times New Roman" w:hAnsi="HelveticaNeueLT Pro 55 Roman" w:cs="Times New Roman"/>
                <w:lang w:eastAsia="en-AU"/>
              </w:rPr>
              <w:t>.</w:t>
            </w:r>
          </w:p>
        </w:tc>
        <w:tc>
          <w:tcPr>
            <w:tcW w:w="0" w:type="auto"/>
            <w:hideMark/>
          </w:tcPr>
          <w:p w14:paraId="033312DB" w14:textId="77777777" w:rsidR="004134AA" w:rsidRDefault="004134AA" w:rsidP="004134AA">
            <w:pPr>
              <w:pStyle w:val="ListParagraph"/>
              <w:numPr>
                <w:ilvl w:val="0"/>
                <w:numId w:val="22"/>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Increase in positive culture indicators (e.g. bystander confidence, sense of belonging) </w:t>
            </w:r>
          </w:p>
          <w:p w14:paraId="186B85BB" w14:textId="77777777" w:rsidR="004134AA" w:rsidRDefault="004134AA" w:rsidP="004134AA">
            <w:pPr>
              <w:pStyle w:val="ListParagraph"/>
              <w:numPr>
                <w:ilvl w:val="0"/>
                <w:numId w:val="22"/>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Decline in harmful </w:t>
            </w:r>
            <w:proofErr w:type="spellStart"/>
            <w:r w:rsidRPr="004134AA">
              <w:rPr>
                <w:rFonts w:ascii="HelveticaNeueLT Pro 55 Roman" w:eastAsia="Times New Roman" w:hAnsi="HelveticaNeueLT Pro 55 Roman" w:cs="Times New Roman"/>
                <w:lang w:eastAsia="en-AU"/>
              </w:rPr>
              <w:t>behaviours</w:t>
            </w:r>
            <w:proofErr w:type="spellEnd"/>
            <w:r w:rsidRPr="004134AA">
              <w:rPr>
                <w:rFonts w:ascii="HelveticaNeueLT Pro 55 Roman" w:eastAsia="Times New Roman" w:hAnsi="HelveticaNeueLT Pro 55 Roman" w:cs="Times New Roman"/>
                <w:lang w:eastAsia="en-AU"/>
              </w:rPr>
              <w:t xml:space="preserve"> or traditions</w:t>
            </w:r>
          </w:p>
          <w:p w14:paraId="0FE90BA0" w14:textId="1527F1F3" w:rsidR="004134AA" w:rsidRPr="004134AA" w:rsidRDefault="004134AA" w:rsidP="004134AA">
            <w:pPr>
              <w:pStyle w:val="ListParagraph"/>
              <w:numPr>
                <w:ilvl w:val="0"/>
                <w:numId w:val="22"/>
              </w:numPr>
              <w:rPr>
                <w:rFonts w:ascii="HelveticaNeueLT Pro 55 Roman" w:eastAsia="Times New Roman" w:hAnsi="HelveticaNeueLT Pro 55 Roman" w:cs="Times New Roman"/>
                <w:lang w:eastAsia="en-AU"/>
              </w:rPr>
            </w:pPr>
            <w:r>
              <w:rPr>
                <w:rFonts w:ascii="HelveticaNeueLT Pro 55 Roman" w:eastAsia="Times New Roman" w:hAnsi="HelveticaNeueLT Pro 55 Roman" w:cs="Times New Roman"/>
                <w:lang w:eastAsia="en-AU"/>
              </w:rPr>
              <w:t xml:space="preserve">No evidence of fraternity/sorority type </w:t>
            </w:r>
            <w:proofErr w:type="spellStart"/>
            <w:r>
              <w:rPr>
                <w:rFonts w:ascii="HelveticaNeueLT Pro 55 Roman" w:eastAsia="Times New Roman" w:hAnsi="HelveticaNeueLT Pro 55 Roman" w:cs="Times New Roman"/>
                <w:lang w:eastAsia="en-AU"/>
              </w:rPr>
              <w:t>behaviour</w:t>
            </w:r>
            <w:proofErr w:type="spellEnd"/>
          </w:p>
        </w:tc>
        <w:tc>
          <w:tcPr>
            <w:tcW w:w="0" w:type="auto"/>
            <w:hideMark/>
          </w:tcPr>
          <w:p w14:paraId="7A6FBA16"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Culture Sub-Committee reviews, student feedback, incident data</w:t>
            </w:r>
          </w:p>
        </w:tc>
        <w:tc>
          <w:tcPr>
            <w:tcW w:w="0" w:type="auto"/>
            <w:hideMark/>
          </w:tcPr>
          <w:p w14:paraId="2B42CA57"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Annual</w:t>
            </w:r>
          </w:p>
        </w:tc>
        <w:tc>
          <w:tcPr>
            <w:tcW w:w="0" w:type="auto"/>
            <w:hideMark/>
          </w:tcPr>
          <w:p w14:paraId="3C593842"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Culture Sub-Committee</w:t>
            </w:r>
          </w:p>
        </w:tc>
      </w:tr>
      <w:tr w:rsidR="004134AA" w:rsidRPr="009C602B" w14:paraId="678BA4B3" w14:textId="77777777" w:rsidTr="003B5A06">
        <w:tc>
          <w:tcPr>
            <w:tcW w:w="0" w:type="auto"/>
            <w:hideMark/>
          </w:tcPr>
          <w:p w14:paraId="59D670A0"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b/>
                <w:bCs/>
                <w:lang w:eastAsia="en-AU"/>
              </w:rPr>
              <w:t>6. Student Leadership Performance</w:t>
            </w:r>
          </w:p>
        </w:tc>
        <w:tc>
          <w:tcPr>
            <w:tcW w:w="0" w:type="auto"/>
            <w:hideMark/>
          </w:tcPr>
          <w:p w14:paraId="12AB8325"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Student leaders model respect, safety and inclusive culture.</w:t>
            </w:r>
          </w:p>
        </w:tc>
        <w:tc>
          <w:tcPr>
            <w:tcW w:w="0" w:type="auto"/>
            <w:hideMark/>
          </w:tcPr>
          <w:p w14:paraId="50E23E88" w14:textId="77777777" w:rsidR="004134AA" w:rsidRDefault="004134AA" w:rsidP="004134AA">
            <w:pPr>
              <w:pStyle w:val="ListParagraph"/>
              <w:numPr>
                <w:ilvl w:val="0"/>
                <w:numId w:val="23"/>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SR and SCC compliance with conduct expectations </w:t>
            </w:r>
          </w:p>
          <w:p w14:paraId="4C11BD29" w14:textId="77777777" w:rsidR="004134AA" w:rsidRDefault="004134AA" w:rsidP="004134AA">
            <w:pPr>
              <w:pStyle w:val="ListParagraph"/>
              <w:numPr>
                <w:ilvl w:val="0"/>
                <w:numId w:val="23"/>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Evaluations of leadership performance</w:t>
            </w:r>
          </w:p>
          <w:p w14:paraId="58D2CDD3" w14:textId="4939DE4B" w:rsidR="004134AA" w:rsidRPr="004134AA" w:rsidRDefault="004134AA" w:rsidP="004134AA">
            <w:pPr>
              <w:pStyle w:val="ListParagraph"/>
              <w:numPr>
                <w:ilvl w:val="0"/>
                <w:numId w:val="23"/>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Reduced incidents during student-led events</w:t>
            </w:r>
          </w:p>
        </w:tc>
        <w:tc>
          <w:tcPr>
            <w:tcW w:w="0" w:type="auto"/>
            <w:hideMark/>
          </w:tcPr>
          <w:p w14:paraId="2A2EF803"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Leadership reviews, event reports</w:t>
            </w:r>
          </w:p>
        </w:tc>
        <w:tc>
          <w:tcPr>
            <w:tcW w:w="0" w:type="auto"/>
            <w:hideMark/>
          </w:tcPr>
          <w:p w14:paraId="66ED5531"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 xml:space="preserve">Semester </w:t>
            </w:r>
            <w:r>
              <w:rPr>
                <w:rFonts w:ascii="HelveticaNeueLT Pro 55 Roman" w:eastAsia="Times New Roman" w:hAnsi="HelveticaNeueLT Pro 55 Roman" w:cs="Times New Roman"/>
                <w:lang w:eastAsia="en-AU"/>
              </w:rPr>
              <w:t>and</w:t>
            </w:r>
            <w:r w:rsidRPr="009C602B">
              <w:rPr>
                <w:rFonts w:ascii="HelveticaNeueLT Pro 55 Roman" w:eastAsia="Times New Roman" w:hAnsi="HelveticaNeueLT Pro 55 Roman" w:cs="Times New Roman"/>
                <w:lang w:eastAsia="en-AU"/>
              </w:rPr>
              <w:t xml:space="preserve"> Annual</w:t>
            </w:r>
          </w:p>
        </w:tc>
        <w:tc>
          <w:tcPr>
            <w:tcW w:w="0" w:type="auto"/>
            <w:hideMark/>
          </w:tcPr>
          <w:p w14:paraId="39EA2B4B"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Dean of Students</w:t>
            </w:r>
          </w:p>
        </w:tc>
      </w:tr>
      <w:tr w:rsidR="004134AA" w:rsidRPr="009C602B" w14:paraId="07030893" w14:textId="77777777" w:rsidTr="003B5A06">
        <w:tc>
          <w:tcPr>
            <w:tcW w:w="0" w:type="auto"/>
            <w:hideMark/>
          </w:tcPr>
          <w:p w14:paraId="733A59AA"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b/>
                <w:bCs/>
                <w:lang w:eastAsia="en-AU"/>
              </w:rPr>
              <w:t xml:space="preserve">7. Governance </w:t>
            </w:r>
            <w:r>
              <w:rPr>
                <w:rFonts w:ascii="HelveticaNeueLT Pro 55 Roman" w:eastAsia="Times New Roman" w:hAnsi="HelveticaNeueLT Pro 55 Roman" w:cs="Times New Roman"/>
                <w:b/>
                <w:bCs/>
                <w:lang w:eastAsia="en-AU"/>
              </w:rPr>
              <w:t>and</w:t>
            </w:r>
            <w:r w:rsidRPr="009C602B">
              <w:rPr>
                <w:rFonts w:ascii="HelveticaNeueLT Pro 55 Roman" w:eastAsia="Times New Roman" w:hAnsi="HelveticaNeueLT Pro 55 Roman" w:cs="Times New Roman"/>
                <w:b/>
                <w:bCs/>
                <w:lang w:eastAsia="en-AU"/>
              </w:rPr>
              <w:t xml:space="preserve"> Transparency</w:t>
            </w:r>
          </w:p>
        </w:tc>
        <w:tc>
          <w:tcPr>
            <w:tcW w:w="0" w:type="auto"/>
            <w:hideMark/>
          </w:tcPr>
          <w:p w14:paraId="208ECB84"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GBV prevention and response are governed effectively, with clear accountability and public reporting.</w:t>
            </w:r>
          </w:p>
        </w:tc>
        <w:tc>
          <w:tcPr>
            <w:tcW w:w="0" w:type="auto"/>
            <w:hideMark/>
          </w:tcPr>
          <w:p w14:paraId="59840765" w14:textId="77777777" w:rsidR="004134AA" w:rsidRDefault="004134AA" w:rsidP="004134AA">
            <w:pPr>
              <w:pStyle w:val="ListParagraph"/>
              <w:numPr>
                <w:ilvl w:val="0"/>
                <w:numId w:val="24"/>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 xml:space="preserve">Annual public report published </w:t>
            </w:r>
            <w:r>
              <w:rPr>
                <w:rFonts w:ascii="HelveticaNeueLT Pro 55 Roman" w:eastAsia="Times New Roman" w:hAnsi="HelveticaNeueLT Pro 55 Roman" w:cs="Times New Roman"/>
                <w:lang w:eastAsia="en-AU"/>
              </w:rPr>
              <w:t>in December each year</w:t>
            </w:r>
            <w:r w:rsidRPr="004134AA">
              <w:rPr>
                <w:rFonts w:ascii="HelveticaNeueLT Pro 55 Roman" w:eastAsia="Times New Roman" w:hAnsi="HelveticaNeueLT Pro 55 Roman" w:cs="Times New Roman"/>
                <w:lang w:eastAsia="en-AU"/>
              </w:rPr>
              <w:t xml:space="preserve"> </w:t>
            </w:r>
          </w:p>
          <w:p w14:paraId="7ABD2FDC" w14:textId="77777777" w:rsidR="004134AA" w:rsidRDefault="004134AA" w:rsidP="004134AA">
            <w:pPr>
              <w:pStyle w:val="ListParagraph"/>
              <w:numPr>
                <w:ilvl w:val="0"/>
                <w:numId w:val="24"/>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lastRenderedPageBreak/>
              <w:t xml:space="preserve">Council receives full implementation report annually </w:t>
            </w:r>
            <w:r>
              <w:rPr>
                <w:rFonts w:ascii="HelveticaNeueLT Pro 55 Roman" w:eastAsia="Times New Roman" w:hAnsi="HelveticaNeueLT Pro 55 Roman" w:cs="Times New Roman"/>
                <w:lang w:eastAsia="en-AU"/>
              </w:rPr>
              <w:t>in November</w:t>
            </w:r>
          </w:p>
          <w:p w14:paraId="21224B11" w14:textId="477F53C3" w:rsidR="004134AA" w:rsidRPr="004134AA" w:rsidRDefault="004134AA" w:rsidP="004134AA">
            <w:pPr>
              <w:pStyle w:val="ListParagraph"/>
              <w:numPr>
                <w:ilvl w:val="0"/>
                <w:numId w:val="24"/>
              </w:numPr>
              <w:rPr>
                <w:rFonts w:ascii="HelveticaNeueLT Pro 55 Roman" w:eastAsia="Times New Roman" w:hAnsi="HelveticaNeueLT Pro 55 Roman" w:cs="Times New Roman"/>
                <w:lang w:eastAsia="en-AU"/>
              </w:rPr>
            </w:pPr>
            <w:r w:rsidRPr="004134AA">
              <w:rPr>
                <w:rFonts w:ascii="HelveticaNeueLT Pro 55 Roman" w:eastAsia="Times New Roman" w:hAnsi="HelveticaNeueLT Pro 55 Roman" w:cs="Times New Roman"/>
                <w:lang w:eastAsia="en-AU"/>
              </w:rPr>
              <w:t>Alignment with National Code affirmed yearly</w:t>
            </w:r>
          </w:p>
        </w:tc>
        <w:tc>
          <w:tcPr>
            <w:tcW w:w="0" w:type="auto"/>
            <w:hideMark/>
          </w:tcPr>
          <w:p w14:paraId="3BA682EC"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lastRenderedPageBreak/>
              <w:t>Council minutes, published report</w:t>
            </w:r>
          </w:p>
        </w:tc>
        <w:tc>
          <w:tcPr>
            <w:tcW w:w="0" w:type="auto"/>
            <w:hideMark/>
          </w:tcPr>
          <w:p w14:paraId="7DF976F7"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Annual</w:t>
            </w:r>
          </w:p>
        </w:tc>
        <w:tc>
          <w:tcPr>
            <w:tcW w:w="0" w:type="auto"/>
            <w:hideMark/>
          </w:tcPr>
          <w:p w14:paraId="6655DCC3" w14:textId="77777777" w:rsidR="004134AA" w:rsidRPr="009C602B" w:rsidRDefault="004134AA" w:rsidP="003B5A06">
            <w:pPr>
              <w:rPr>
                <w:rFonts w:ascii="HelveticaNeueLT Pro 55 Roman" w:eastAsia="Times New Roman" w:hAnsi="HelveticaNeueLT Pro 55 Roman" w:cs="Times New Roman"/>
                <w:lang w:eastAsia="en-AU"/>
              </w:rPr>
            </w:pPr>
            <w:r w:rsidRPr="009C602B">
              <w:rPr>
                <w:rFonts w:ascii="HelveticaNeueLT Pro 55 Roman" w:eastAsia="Times New Roman" w:hAnsi="HelveticaNeueLT Pro 55 Roman" w:cs="Times New Roman"/>
                <w:lang w:eastAsia="en-AU"/>
              </w:rPr>
              <w:t>Principal; Council Chair</w:t>
            </w:r>
          </w:p>
        </w:tc>
      </w:tr>
    </w:tbl>
    <w:p w14:paraId="2C37C939" w14:textId="77777777" w:rsidR="00C00C87" w:rsidRDefault="00C00C87" w:rsidP="004134AA">
      <w:pPr>
        <w:spacing w:after="0" w:line="240" w:lineRule="auto"/>
        <w:rPr>
          <w:rFonts w:ascii="HelveticaNeueLT Pro 55 Roman" w:hAnsi="HelveticaNeueLT Pro 55 Roman"/>
        </w:rPr>
      </w:pPr>
    </w:p>
    <w:p w14:paraId="1A6C99D0" w14:textId="0811C178" w:rsidR="004134AA" w:rsidRPr="00C00C87" w:rsidRDefault="00C00C87" w:rsidP="004134AA">
      <w:pPr>
        <w:spacing w:after="0" w:line="240" w:lineRule="auto"/>
        <w:rPr>
          <w:rFonts w:ascii="HelveticaNeueLT Pro 55 Roman" w:eastAsia="Times New Roman" w:hAnsi="HelveticaNeueLT Pro 55 Roman" w:cs="Times New Roman"/>
          <w:lang w:eastAsia="en-AU"/>
        </w:rPr>
      </w:pPr>
      <w:r w:rsidRPr="00C00C87">
        <w:rPr>
          <w:rFonts w:ascii="HelveticaNeueLT Pro 55 Roman" w:hAnsi="HelveticaNeueLT Pro 55 Roman"/>
        </w:rPr>
        <w:t>De-identified data and outcomes from this Framework will be reported to the University of Tasmania in accordance with agreed reporting requirements, supporting shared oversight, assurance and continuous improvement.</w:t>
      </w:r>
    </w:p>
    <w:p w14:paraId="434D061A" w14:textId="77777777" w:rsidR="00574C96" w:rsidRPr="00C00C87" w:rsidRDefault="00574C96" w:rsidP="00705E60">
      <w:pPr>
        <w:spacing w:after="0"/>
        <w:rPr>
          <w:rFonts w:ascii="HelveticaNeueLT Pro 55 Roman" w:hAnsi="HelveticaNeueLT Pro 55 Roman"/>
          <w:b/>
        </w:rPr>
      </w:pPr>
    </w:p>
    <w:p w14:paraId="7C475928" w14:textId="77777777" w:rsidR="00C00C87" w:rsidRDefault="00C00C87" w:rsidP="00705E60">
      <w:pPr>
        <w:spacing w:after="0"/>
        <w:rPr>
          <w:rFonts w:ascii="HelveticaNeueLT Pro 55 Roman" w:hAnsi="HelveticaNeueLT Pro 55 Roman"/>
          <w:b/>
          <w:color w:val="EA2833"/>
        </w:rPr>
      </w:pPr>
    </w:p>
    <w:p w14:paraId="2EEA648B" w14:textId="3C3874FC" w:rsidR="003E65CE" w:rsidRDefault="007971D6" w:rsidP="00705E60">
      <w:pPr>
        <w:spacing w:after="0"/>
        <w:rPr>
          <w:rFonts w:ascii="HelveticaNeueLT Pro 55 Roman" w:hAnsi="HelveticaNeueLT Pro 55 Roman"/>
          <w:b/>
          <w:color w:val="EA2833"/>
        </w:rPr>
      </w:pPr>
      <w:r w:rsidRPr="0035418C">
        <w:rPr>
          <w:rFonts w:ascii="HelveticaNeueLT Pro 55 Roman" w:hAnsi="HelveticaNeueLT Pro 55 Roman"/>
          <w:b/>
          <w:color w:val="EA2833"/>
        </w:rPr>
        <w:t>8. Implementation, monitoring and endorsement</w:t>
      </w:r>
    </w:p>
    <w:p w14:paraId="636F844E" w14:textId="77777777" w:rsidR="003515FD" w:rsidRDefault="003515FD" w:rsidP="00705E60">
      <w:pPr>
        <w:spacing w:after="0"/>
        <w:rPr>
          <w:rFonts w:ascii="HelveticaNeueLT Pro 55 Roman" w:hAnsi="HelveticaNeueLT Pro 55 Roman"/>
          <w:b/>
          <w:color w:val="EA2833"/>
        </w:rPr>
      </w:pPr>
    </w:p>
    <w:p w14:paraId="32B22C47"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 xml:space="preserve">The Jane College Gender-Based Violence Prevention and Response Plan and Outcomes Framework will be implemented as a whole-of-organisation framework over the period </w:t>
      </w:r>
      <w:r w:rsidRPr="00C00C87">
        <w:rPr>
          <w:rFonts w:ascii="HelveticaNeueLT Pro 55 Roman" w:eastAsia="Times New Roman" w:hAnsi="HelveticaNeueLT Pro 55 Roman" w:cs="Times New Roman"/>
          <w:b/>
          <w:bCs/>
          <w:lang w:val="en-AU" w:eastAsia="en-AU"/>
        </w:rPr>
        <w:t>1 January 2026 to 31 December 2029</w:t>
      </w:r>
      <w:r w:rsidRPr="00C00C87">
        <w:rPr>
          <w:rFonts w:ascii="HelveticaNeueLT Pro 55 Roman" w:eastAsia="Times New Roman" w:hAnsi="HelveticaNeueLT Pro 55 Roman" w:cs="Times New Roman"/>
          <w:lang w:val="en-AU" w:eastAsia="en-AU"/>
        </w:rPr>
        <w:t>, with clear accountability, structured monitoring and regular review to ensure effectiveness, compliance and continuous improvement.</w:t>
      </w:r>
    </w:p>
    <w:p w14:paraId="78597548" w14:textId="77777777" w:rsidR="00C00C87" w:rsidRPr="00C00C87" w:rsidRDefault="00C00C87" w:rsidP="00C00C87">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C00C87">
        <w:rPr>
          <w:rFonts w:ascii="HelveticaNeueLT Pro 55 Roman" w:eastAsia="Times New Roman" w:hAnsi="HelveticaNeueLT Pro 55 Roman" w:cs="Times New Roman"/>
          <w:b/>
          <w:bCs/>
          <w:lang w:val="en-AU" w:eastAsia="en-AU"/>
        </w:rPr>
        <w:t>8.1 Implementation</w:t>
      </w:r>
    </w:p>
    <w:p w14:paraId="1AF55507"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 xml:space="preserve">Implementation of this Plan is the responsibility of the </w:t>
      </w:r>
      <w:proofErr w:type="gramStart"/>
      <w:r w:rsidRPr="00C00C87">
        <w:rPr>
          <w:rFonts w:ascii="HelveticaNeueLT Pro 55 Roman" w:eastAsia="Times New Roman" w:hAnsi="HelveticaNeueLT Pro 55 Roman" w:cs="Times New Roman"/>
          <w:lang w:val="en-AU" w:eastAsia="en-AU"/>
        </w:rPr>
        <w:t>Principal</w:t>
      </w:r>
      <w:proofErr w:type="gramEnd"/>
      <w:r w:rsidRPr="00C00C87">
        <w:rPr>
          <w:rFonts w:ascii="HelveticaNeueLT Pro 55 Roman" w:eastAsia="Times New Roman" w:hAnsi="HelveticaNeueLT Pro 55 Roman" w:cs="Times New Roman"/>
          <w:lang w:val="en-AU" w:eastAsia="en-AU"/>
        </w:rPr>
        <w:t>, supported by the Dean of Students, College management, Senior Residents, student leadership and professional staff. The actions outlined in Section 5 are embedded within existing governance, operational and pastoral systems to ensure that GBV prevention and response is part of everyday practice rather than a standalone initiative.</w:t>
      </w:r>
    </w:p>
    <w:p w14:paraId="50CBA969"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Implementation will be supported through:</w:t>
      </w:r>
    </w:p>
    <w:p w14:paraId="302F0001" w14:textId="77777777" w:rsidR="00C00C87" w:rsidRPr="00C00C87" w:rsidRDefault="00C00C87" w:rsidP="00C00C87">
      <w:pPr>
        <w:numPr>
          <w:ilvl w:val="0"/>
          <w:numId w:val="2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Integration of GBV prevention and response requirements into staff induction, student orientation and ongoing training programs</w:t>
      </w:r>
    </w:p>
    <w:p w14:paraId="161FFE8F" w14:textId="77777777" w:rsidR="00C00C87" w:rsidRPr="00C00C87" w:rsidRDefault="00C00C87" w:rsidP="00C00C87">
      <w:pPr>
        <w:numPr>
          <w:ilvl w:val="0"/>
          <w:numId w:val="2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Alignment of College policies, procedures and reporting pathways with the National Higher Education Code and relevant University of Tasmania frameworks</w:t>
      </w:r>
    </w:p>
    <w:p w14:paraId="64755F68" w14:textId="77777777" w:rsidR="00C00C87" w:rsidRPr="00C00C87" w:rsidRDefault="00C00C87" w:rsidP="00C00C87">
      <w:pPr>
        <w:numPr>
          <w:ilvl w:val="0"/>
          <w:numId w:val="2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Clear communication of expectations to students, staff and student leaders, including through the College Obligations and Terms of Residence (COTR) and Student Handbook</w:t>
      </w:r>
    </w:p>
    <w:p w14:paraId="05DA001C" w14:textId="77777777" w:rsidR="00C00C87" w:rsidRPr="00C00C87" w:rsidRDefault="00C00C87" w:rsidP="00C00C87">
      <w:pPr>
        <w:numPr>
          <w:ilvl w:val="0"/>
          <w:numId w:val="2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Ongoing collaboration with the University of Tasmania, including appropriate referral to the UTAS Student Safety and Wellbeing Team where matters involve shared risk or University jurisdiction</w:t>
      </w:r>
    </w:p>
    <w:p w14:paraId="1742F828" w14:textId="77777777" w:rsidR="00C00C87" w:rsidRPr="00C00C87" w:rsidRDefault="00C00C87" w:rsidP="00C00C87">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C00C87">
        <w:rPr>
          <w:rFonts w:ascii="HelveticaNeueLT Pro 55 Roman" w:eastAsia="Times New Roman" w:hAnsi="HelveticaNeueLT Pro 55 Roman" w:cs="Times New Roman"/>
          <w:b/>
          <w:bCs/>
          <w:lang w:val="en-AU" w:eastAsia="en-AU"/>
        </w:rPr>
        <w:t>8.2 Monitoring and Review</w:t>
      </w:r>
    </w:p>
    <w:p w14:paraId="7F36E308"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lastRenderedPageBreak/>
        <w:t>Monitoring of the Plan’s effectiveness will occur through both operational oversight and formal governance reporting, ensuring transparency and accountability.</w:t>
      </w:r>
    </w:p>
    <w:p w14:paraId="77B09533"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Key monitoring mechanisms include:</w:t>
      </w:r>
    </w:p>
    <w:p w14:paraId="4C58C9ED" w14:textId="77777777" w:rsidR="00C00C87" w:rsidRPr="00C00C87" w:rsidRDefault="00C00C87" w:rsidP="00C00C87">
      <w:pPr>
        <w:numPr>
          <w:ilvl w:val="0"/>
          <w:numId w:val="2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Annual whole-of-organisation GBV risk assessments, conducted each March, to identify emerging risks, assess cultural trends and inform targeted prevention strategies</w:t>
      </w:r>
    </w:p>
    <w:p w14:paraId="05476171" w14:textId="77777777" w:rsidR="00C00C87" w:rsidRPr="00C00C87" w:rsidRDefault="00C00C87" w:rsidP="00C00C87">
      <w:pPr>
        <w:numPr>
          <w:ilvl w:val="0"/>
          <w:numId w:val="2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Six-monthly reporting to the College Council and the College Culture Committee on implementation progress, incident trends and outcomes</w:t>
      </w:r>
    </w:p>
    <w:p w14:paraId="1E71E573" w14:textId="77777777" w:rsidR="00C00C87" w:rsidRPr="00C00C87" w:rsidRDefault="00C00C87" w:rsidP="00C00C87">
      <w:pPr>
        <w:numPr>
          <w:ilvl w:val="0"/>
          <w:numId w:val="2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 xml:space="preserve">Collection and review of de-identified GBV data through </w:t>
      </w:r>
      <w:proofErr w:type="spellStart"/>
      <w:r w:rsidRPr="00C00C87">
        <w:rPr>
          <w:rFonts w:ascii="HelveticaNeueLT Pro 55 Roman" w:eastAsia="Times New Roman" w:hAnsi="HelveticaNeueLT Pro 55 Roman" w:cs="Times New Roman"/>
          <w:lang w:val="en-AU" w:eastAsia="en-AU"/>
        </w:rPr>
        <w:t>RespectX</w:t>
      </w:r>
      <w:proofErr w:type="spellEnd"/>
      <w:r w:rsidRPr="00C00C87">
        <w:rPr>
          <w:rFonts w:ascii="HelveticaNeueLT Pro 55 Roman" w:eastAsia="Times New Roman" w:hAnsi="HelveticaNeueLT Pro 55 Roman" w:cs="Times New Roman"/>
          <w:lang w:val="en-AU" w:eastAsia="en-AU"/>
        </w:rPr>
        <w:t xml:space="preserve"> and internal case management processes, consistent with UTAS reporting expectations</w:t>
      </w:r>
    </w:p>
    <w:p w14:paraId="127C2580" w14:textId="77777777" w:rsidR="00C00C87" w:rsidRPr="00C00C87" w:rsidRDefault="00C00C87" w:rsidP="00C00C87">
      <w:pPr>
        <w:numPr>
          <w:ilvl w:val="0"/>
          <w:numId w:val="2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Evaluation of training participation, capability development and student awareness through surveys and feedback mechanisms</w:t>
      </w:r>
    </w:p>
    <w:p w14:paraId="3FB7663C" w14:textId="77777777" w:rsidR="00C00C87" w:rsidRPr="00C00C87" w:rsidRDefault="00C00C87" w:rsidP="00C00C87">
      <w:pPr>
        <w:numPr>
          <w:ilvl w:val="0"/>
          <w:numId w:val="2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Review of outcomes against the Outcomes Framework indicators set out in Section 6</w:t>
      </w:r>
    </w:p>
    <w:p w14:paraId="79D9D141"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Findings from monitoring and evaluation activities will inform continuous improvement, policy refinement and targeted interventions.</w:t>
      </w:r>
    </w:p>
    <w:p w14:paraId="343D9310" w14:textId="77777777" w:rsidR="00C00C87" w:rsidRPr="00C00C87" w:rsidRDefault="00C00C87" w:rsidP="00C00C87">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C00C87">
        <w:rPr>
          <w:rFonts w:ascii="HelveticaNeueLT Pro 55 Roman" w:eastAsia="Times New Roman" w:hAnsi="HelveticaNeueLT Pro 55 Roman" w:cs="Times New Roman"/>
          <w:b/>
          <w:bCs/>
          <w:lang w:val="en-AU" w:eastAsia="en-AU"/>
        </w:rPr>
        <w:t>8.3 Continuous Improvement</w:t>
      </w:r>
    </w:p>
    <w:p w14:paraId="393FAEBF"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In keeping with the principles of the Jane Accord, this Plan is designed to be dynamic and responsive. Jane College recognises that GBV prevention and response requires sustained effort, learning and adaptation.</w:t>
      </w:r>
    </w:p>
    <w:p w14:paraId="5B1F985F"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Continuous improvement will be supported through:</w:t>
      </w:r>
    </w:p>
    <w:p w14:paraId="66255D2F" w14:textId="77777777" w:rsidR="00C00C87" w:rsidRPr="00C00C87" w:rsidRDefault="00C00C87" w:rsidP="00C00C87">
      <w:pPr>
        <w:numPr>
          <w:ilvl w:val="0"/>
          <w:numId w:val="2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Incorporation of student and staff feedback, including from groups disproportionately affected by GBV</w:t>
      </w:r>
    </w:p>
    <w:p w14:paraId="4274CAC3" w14:textId="77777777" w:rsidR="00C00C87" w:rsidRPr="00C00C87" w:rsidRDefault="00C00C87" w:rsidP="00C00C87">
      <w:pPr>
        <w:numPr>
          <w:ilvl w:val="0"/>
          <w:numId w:val="2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Reflection on incident data and response practice to strengthen prevention and response systems</w:t>
      </w:r>
    </w:p>
    <w:p w14:paraId="159369E4" w14:textId="77777777" w:rsidR="00C00C87" w:rsidRPr="00C00C87" w:rsidRDefault="00C00C87" w:rsidP="00C00C87">
      <w:pPr>
        <w:numPr>
          <w:ilvl w:val="0"/>
          <w:numId w:val="2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Periodic review of training content to reflect emerging evidence, sector practice and University guidance</w:t>
      </w:r>
    </w:p>
    <w:p w14:paraId="53521B81" w14:textId="77777777" w:rsidR="00C00C87" w:rsidRPr="00C00C87" w:rsidRDefault="00C00C87" w:rsidP="00C00C87">
      <w:pPr>
        <w:numPr>
          <w:ilvl w:val="0"/>
          <w:numId w:val="2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Adaptation of the Plan in response to changes in legislation, national standards or University requirements</w:t>
      </w:r>
    </w:p>
    <w:p w14:paraId="0FF60F3D" w14:textId="77777777" w:rsidR="00C00C87" w:rsidRPr="00C00C87" w:rsidRDefault="00C00C87" w:rsidP="00C00C87">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C00C87">
        <w:rPr>
          <w:rFonts w:ascii="HelveticaNeueLT Pro 55 Roman" w:eastAsia="Times New Roman" w:hAnsi="HelveticaNeueLT Pro 55 Roman" w:cs="Times New Roman"/>
          <w:b/>
          <w:bCs/>
          <w:lang w:val="en-AU" w:eastAsia="en-AU"/>
        </w:rPr>
        <w:t>8.4 Endorsement and Review Cycle</w:t>
      </w:r>
    </w:p>
    <w:p w14:paraId="6DB355CC"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This Plan has been developed with oversight from the College Culture Committee and is endorsed by the College Council.</w:t>
      </w:r>
    </w:p>
    <w:p w14:paraId="13EF6D9F"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The Plan will be:</w:t>
      </w:r>
    </w:p>
    <w:p w14:paraId="634D1FA3" w14:textId="77777777" w:rsidR="00C00C87" w:rsidRPr="00C00C87" w:rsidRDefault="00C00C87" w:rsidP="00C00C87">
      <w:pPr>
        <w:numPr>
          <w:ilvl w:val="0"/>
          <w:numId w:val="28"/>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Reviewed annually by the College Culture Committee</w:t>
      </w:r>
    </w:p>
    <w:p w14:paraId="20C396DE" w14:textId="77777777" w:rsidR="00C00C87" w:rsidRPr="00C00C87" w:rsidRDefault="00C00C87" w:rsidP="00C00C87">
      <w:pPr>
        <w:numPr>
          <w:ilvl w:val="0"/>
          <w:numId w:val="28"/>
        </w:num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t>Formally reviewed every four years by the College Council, or earlier if required to maintain alignment with the National Higher Education Code or University of Tasmania expectations</w:t>
      </w:r>
    </w:p>
    <w:p w14:paraId="0A7F96A6" w14:textId="77777777" w:rsidR="00C00C87" w:rsidRPr="00C00C87" w:rsidRDefault="00C00C87" w:rsidP="00C00C87">
      <w:pPr>
        <w:spacing w:before="100" w:beforeAutospacing="1" w:after="100" w:afterAutospacing="1" w:line="240" w:lineRule="auto"/>
        <w:rPr>
          <w:rFonts w:ascii="HelveticaNeueLT Pro 55 Roman" w:eastAsia="Times New Roman" w:hAnsi="HelveticaNeueLT Pro 55 Roman" w:cs="Times New Roman"/>
          <w:lang w:val="en-AU" w:eastAsia="en-AU"/>
        </w:rPr>
      </w:pPr>
      <w:r w:rsidRPr="00C00C87">
        <w:rPr>
          <w:rFonts w:ascii="HelveticaNeueLT Pro 55 Roman" w:eastAsia="Times New Roman" w:hAnsi="HelveticaNeueLT Pro 55 Roman" w:cs="Times New Roman"/>
          <w:lang w:val="en-AU" w:eastAsia="en-AU"/>
        </w:rPr>
        <w:lastRenderedPageBreak/>
        <w:t>Endorsement of this Plan affirms Jane College’s commitment to providing a safe, respectful and inclusive residential environment, and to working collaboratively with the University of Tasmania to prevent and respond to gender-based violence.</w:t>
      </w:r>
    </w:p>
    <w:p w14:paraId="798CF284" w14:textId="77777777" w:rsidR="00BA6F6A" w:rsidRDefault="00BA6F6A" w:rsidP="00705E60">
      <w:pPr>
        <w:spacing w:after="0"/>
        <w:rPr>
          <w:rFonts w:ascii="HelveticaNeueLT Pro 55 Roman" w:hAnsi="HelveticaNeueLT Pro 55 Roman"/>
        </w:rPr>
      </w:pPr>
    </w:p>
    <w:p w14:paraId="77ED7322"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61B57DB2"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5340FED2"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6B26ED2C"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0B11D2C6"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4C77575F"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09E3DBB0"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24D0C40A"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503B4567"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6387DDD1"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642A5E4C"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1E69D900"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3E0348FA" w14:textId="77777777" w:rsid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0A10F62A" w14:textId="77777777" w:rsidR="007F723C" w:rsidRDefault="007F723C"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3ABADE12" w14:textId="77777777" w:rsidR="007F723C" w:rsidRDefault="007F723C"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73C2BDEC" w14:textId="77777777" w:rsidR="007F723C" w:rsidRDefault="007F723C" w:rsidP="002D1233">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0B4CD1EC" w14:textId="4ECE2929" w:rsidR="002D1233" w:rsidRP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color w:val="3F0065"/>
          <w:sz w:val="28"/>
          <w:szCs w:val="28"/>
          <w:lang w:val="en-AU" w:eastAsia="en-AU"/>
        </w:rPr>
      </w:pPr>
      <w:r w:rsidRPr="00426AAF">
        <w:rPr>
          <w:rFonts w:ascii="HelveticaNeueLT Pro 55 Roman" w:eastAsia="Times New Roman" w:hAnsi="HelveticaNeueLT Pro 55 Roman" w:cs="Times New Roman"/>
          <w:b/>
          <w:bCs/>
          <w:color w:val="3F0065"/>
          <w:sz w:val="28"/>
          <w:szCs w:val="28"/>
          <w:lang w:val="en-AU" w:eastAsia="en-AU"/>
        </w:rPr>
        <w:lastRenderedPageBreak/>
        <w:t xml:space="preserve">Appendix 1: </w:t>
      </w:r>
      <w:r w:rsidRPr="002D1233">
        <w:rPr>
          <w:rFonts w:ascii="HelveticaNeueLT Pro 55 Roman" w:eastAsia="Times New Roman" w:hAnsi="HelveticaNeueLT Pro 55 Roman" w:cs="Times New Roman"/>
          <w:b/>
          <w:bCs/>
          <w:color w:val="3F0065"/>
          <w:sz w:val="28"/>
          <w:szCs w:val="28"/>
          <w:lang w:val="en-AU" w:eastAsia="en-AU"/>
        </w:rPr>
        <w:t>Annual Compliance and Implementation Calendar (2026–2029)</w:t>
      </w:r>
    </w:p>
    <w:p w14:paraId="1D1E045B" w14:textId="77777777" w:rsidR="002D1233" w:rsidRPr="002D1233" w:rsidRDefault="002D1233" w:rsidP="002D1233">
      <w:p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i/>
          <w:iCs/>
          <w:lang w:val="en-AU" w:eastAsia="en-AU"/>
        </w:rPr>
        <w:t>This calendar operates on a repeating annual cycle for the duration of the Plan.</w:t>
      </w:r>
    </w:p>
    <w:p w14:paraId="2399E4B0" w14:textId="77777777" w:rsidR="002D1233" w:rsidRPr="002D1233" w:rsidRDefault="00E07FE5" w:rsidP="002D1233">
      <w:pPr>
        <w:spacing w:after="0"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pict w14:anchorId="6B6FB9EF">
          <v:rect id="_x0000_i1025" style="width:0;height:1.5pt" o:hralign="center" o:hrstd="t" o:hr="t" fillcolor="#a0a0a0" stroked="f"/>
        </w:pict>
      </w:r>
    </w:p>
    <w:p w14:paraId="61E6EE4E" w14:textId="06393214" w:rsidR="002D1233" w:rsidRP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color w:val="EE0000"/>
          <w:lang w:val="en-AU" w:eastAsia="en-AU"/>
        </w:rPr>
      </w:pPr>
      <w:r w:rsidRPr="002D1233">
        <w:rPr>
          <w:rFonts w:ascii="HelveticaNeueLT Pro 55 Roman" w:eastAsia="Times New Roman" w:hAnsi="HelveticaNeueLT Pro 55 Roman" w:cs="Times New Roman"/>
          <w:b/>
          <w:bCs/>
          <w:color w:val="EE0000"/>
          <w:lang w:val="en-AU" w:eastAsia="en-AU"/>
        </w:rPr>
        <w:t>Quarter 1 (January–March): Training and Readiness</w:t>
      </w:r>
    </w:p>
    <w:p w14:paraId="73511347"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Key obligations</w:t>
      </w:r>
    </w:p>
    <w:p w14:paraId="085D8F0C" w14:textId="77777777" w:rsidR="002D1233" w:rsidRPr="002D1233" w:rsidRDefault="002D1233" w:rsidP="002D1233">
      <w:pPr>
        <w:numPr>
          <w:ilvl w:val="0"/>
          <w:numId w:val="3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Confirm governance oversight and responsibilities</w:t>
      </w:r>
    </w:p>
    <w:p w14:paraId="08456367" w14:textId="77777777" w:rsidR="002D1233" w:rsidRPr="002D1233" w:rsidRDefault="002D1233" w:rsidP="002D1233">
      <w:pPr>
        <w:numPr>
          <w:ilvl w:val="0"/>
          <w:numId w:val="3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Prepare staff and student leaders for the academic year</w:t>
      </w:r>
    </w:p>
    <w:p w14:paraId="6903280E" w14:textId="77777777" w:rsidR="002D1233" w:rsidRPr="002D1233" w:rsidRDefault="002D1233" w:rsidP="002D1233">
      <w:pPr>
        <w:numPr>
          <w:ilvl w:val="0"/>
          <w:numId w:val="3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Ensure systems, policies and response pathways are current</w:t>
      </w:r>
    </w:p>
    <w:p w14:paraId="39247F6C"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Actions</w:t>
      </w:r>
    </w:p>
    <w:p w14:paraId="48392003" w14:textId="77777777" w:rsidR="002D1233" w:rsidRPr="002D1233" w:rsidRDefault="002D1233" w:rsidP="002D1233">
      <w:pPr>
        <w:numPr>
          <w:ilvl w:val="0"/>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and confirm GBV governance arrangements (Council, Culture Committee, FARM)</w:t>
      </w:r>
    </w:p>
    <w:p w14:paraId="528DDB65" w14:textId="77777777" w:rsidR="002D1233" w:rsidRPr="002D1233" w:rsidRDefault="002D1233" w:rsidP="002D1233">
      <w:pPr>
        <w:numPr>
          <w:ilvl w:val="0"/>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and update GBV Policy and Procedures (if required)</w:t>
      </w:r>
    </w:p>
    <w:p w14:paraId="27269666" w14:textId="77777777" w:rsidR="002D1233" w:rsidRPr="002D1233" w:rsidRDefault="002D1233" w:rsidP="002D1233">
      <w:pPr>
        <w:numPr>
          <w:ilvl w:val="0"/>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Confirm after-hours crisis response protocols</w:t>
      </w:r>
    </w:p>
    <w:p w14:paraId="40757CCD" w14:textId="77777777" w:rsidR="002D1233" w:rsidRPr="002D1233" w:rsidRDefault="002D1233" w:rsidP="002D1233">
      <w:pPr>
        <w:numPr>
          <w:ilvl w:val="0"/>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Deliver mandatory GBV training to:</w:t>
      </w:r>
    </w:p>
    <w:p w14:paraId="0CD77FD6" w14:textId="77777777" w:rsidR="00426AAF" w:rsidRDefault="002D1233" w:rsidP="00426AAF">
      <w:pPr>
        <w:numPr>
          <w:ilvl w:val="1"/>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Senior Residents</w:t>
      </w:r>
    </w:p>
    <w:p w14:paraId="4F09ED3C" w14:textId="29D288D1" w:rsidR="002D1233" w:rsidRPr="002D1233" w:rsidRDefault="00426AAF" w:rsidP="00426AAF">
      <w:pPr>
        <w:numPr>
          <w:ilvl w:val="1"/>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426AAF">
        <w:rPr>
          <w:rFonts w:ascii="HelveticaNeueLT Pro 55 Roman" w:eastAsia="Times New Roman" w:hAnsi="HelveticaNeueLT Pro 55 Roman" w:cs="Times New Roman"/>
          <w:lang w:val="en-AU" w:eastAsia="en-AU"/>
        </w:rPr>
        <w:t>SCC</w:t>
      </w:r>
    </w:p>
    <w:p w14:paraId="4ADEE758" w14:textId="0F14E87F" w:rsidR="002D1233" w:rsidRDefault="00426AAF" w:rsidP="002D1233">
      <w:pPr>
        <w:numPr>
          <w:ilvl w:val="1"/>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t>S</w:t>
      </w:r>
      <w:r w:rsidR="002D1233" w:rsidRPr="002D1233">
        <w:rPr>
          <w:rFonts w:ascii="HelveticaNeueLT Pro 55 Roman" w:eastAsia="Times New Roman" w:hAnsi="HelveticaNeueLT Pro 55 Roman" w:cs="Times New Roman"/>
          <w:lang w:val="en-AU" w:eastAsia="en-AU"/>
        </w:rPr>
        <w:t>taff</w:t>
      </w:r>
    </w:p>
    <w:p w14:paraId="2BC786AD" w14:textId="29C28203" w:rsidR="00426AAF" w:rsidRPr="002D1233" w:rsidRDefault="00426AAF" w:rsidP="002D1233">
      <w:pPr>
        <w:numPr>
          <w:ilvl w:val="1"/>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t xml:space="preserve">Students </w:t>
      </w:r>
    </w:p>
    <w:p w14:paraId="645DFEEC" w14:textId="77777777" w:rsidR="002D1233" w:rsidRPr="002D1233" w:rsidRDefault="002D1233" w:rsidP="002D1233">
      <w:pPr>
        <w:numPr>
          <w:ilvl w:val="0"/>
          <w:numId w:val="3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Embed GBV prevention messaging into orientation and Welcome Week</w:t>
      </w:r>
    </w:p>
    <w:p w14:paraId="6A6780A5" w14:textId="77777777" w:rsidR="00426AAF" w:rsidRDefault="002D1233" w:rsidP="00426AAF">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 xml:space="preserve">Review risk register </w:t>
      </w:r>
    </w:p>
    <w:p w14:paraId="39135953" w14:textId="73ED1C67" w:rsidR="00426AAF" w:rsidRPr="00426AAF" w:rsidRDefault="002D1233" w:rsidP="00426AAF">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Confirm confidential reporting pathways are operational</w:t>
      </w:r>
      <w:r w:rsidR="00426AAF" w:rsidRPr="00426AAF">
        <w:rPr>
          <w:rFonts w:ascii="HelveticaNeueLT Pro 55 Roman" w:eastAsia="Times New Roman" w:hAnsi="HelveticaNeueLT Pro 55 Roman" w:cs="Times New Roman"/>
          <w:lang w:val="en-AU" w:eastAsia="en-AU"/>
        </w:rPr>
        <w:t xml:space="preserve"> </w:t>
      </w:r>
    </w:p>
    <w:p w14:paraId="59E96DA4" w14:textId="18CAB426" w:rsidR="002D1233" w:rsidRPr="002D1233" w:rsidRDefault="00426AAF" w:rsidP="00426AAF">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 xml:space="preserve">Conduct </w:t>
      </w:r>
      <w:r>
        <w:rPr>
          <w:rFonts w:ascii="HelveticaNeueLT Pro 55 Roman" w:eastAsia="Times New Roman" w:hAnsi="HelveticaNeueLT Pro 55 Roman" w:cs="Times New Roman"/>
          <w:lang w:val="en-AU" w:eastAsia="en-AU"/>
        </w:rPr>
        <w:t xml:space="preserve">Whole of Organisation Risk Assessment </w:t>
      </w:r>
    </w:p>
    <w:p w14:paraId="6B200704"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Reporting</w:t>
      </w:r>
    </w:p>
    <w:p w14:paraId="46BA0782" w14:textId="77777777" w:rsidR="002D1233" w:rsidRPr="002D1233" w:rsidRDefault="002D1233" w:rsidP="002D1233">
      <w:pPr>
        <w:numPr>
          <w:ilvl w:val="0"/>
          <w:numId w:val="3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Internal update to Principal</w:t>
      </w:r>
    </w:p>
    <w:p w14:paraId="69BEE529" w14:textId="77777777" w:rsidR="002D1233" w:rsidRPr="002D1233" w:rsidRDefault="002D1233" w:rsidP="002D1233">
      <w:pPr>
        <w:numPr>
          <w:ilvl w:val="0"/>
          <w:numId w:val="3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Risk oversight via FARM (Q1 cycle)</w:t>
      </w:r>
    </w:p>
    <w:p w14:paraId="5B6A350D" w14:textId="77777777" w:rsidR="002D1233" w:rsidRPr="002D1233" w:rsidRDefault="00E07FE5" w:rsidP="002D1233">
      <w:pPr>
        <w:spacing w:after="0"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pict w14:anchorId="383CE86E">
          <v:rect id="_x0000_i1026" style="width:0;height:1.5pt" o:hralign="center" o:hrstd="t" o:hr="t" fillcolor="#a0a0a0" stroked="f"/>
        </w:pict>
      </w:r>
    </w:p>
    <w:p w14:paraId="148227CA" w14:textId="77777777" w:rsidR="002D1233" w:rsidRP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color w:val="EE0000"/>
          <w:lang w:val="en-AU" w:eastAsia="en-AU"/>
        </w:rPr>
      </w:pPr>
      <w:r w:rsidRPr="002D1233">
        <w:rPr>
          <w:rFonts w:ascii="HelveticaNeueLT Pro 55 Roman" w:eastAsia="Times New Roman" w:hAnsi="HelveticaNeueLT Pro 55 Roman" w:cs="Times New Roman"/>
          <w:b/>
          <w:bCs/>
          <w:color w:val="EE0000"/>
          <w:lang w:val="en-AU" w:eastAsia="en-AU"/>
        </w:rPr>
        <w:lastRenderedPageBreak/>
        <w:t>Quarter 2 (April–June): Monitoring and Mid-Year Reporting</w:t>
      </w:r>
    </w:p>
    <w:p w14:paraId="603D31B8"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Key obligations</w:t>
      </w:r>
    </w:p>
    <w:p w14:paraId="26A948AC" w14:textId="77777777" w:rsidR="002D1233" w:rsidRPr="002D1233" w:rsidRDefault="002D1233" w:rsidP="002D1233">
      <w:pPr>
        <w:numPr>
          <w:ilvl w:val="0"/>
          <w:numId w:val="33"/>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Monitor effectiveness of systems and responses</w:t>
      </w:r>
    </w:p>
    <w:p w14:paraId="4755A661" w14:textId="77777777" w:rsidR="002D1233" w:rsidRPr="002D1233" w:rsidRDefault="002D1233" w:rsidP="002D1233">
      <w:pPr>
        <w:numPr>
          <w:ilvl w:val="0"/>
          <w:numId w:val="33"/>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Meet six-monthly reporting obligations</w:t>
      </w:r>
    </w:p>
    <w:p w14:paraId="3BDCC469" w14:textId="77777777" w:rsidR="002D1233" w:rsidRPr="002D1233" w:rsidRDefault="002D1233" w:rsidP="002D1233">
      <w:pPr>
        <w:numPr>
          <w:ilvl w:val="0"/>
          <w:numId w:val="33"/>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Identify emerging risks or gaps</w:t>
      </w:r>
    </w:p>
    <w:p w14:paraId="1F67BC93"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Actions</w:t>
      </w:r>
    </w:p>
    <w:p w14:paraId="05F5BFA4" w14:textId="77777777" w:rsidR="00426AAF" w:rsidRDefault="00426AAF" w:rsidP="002D1233">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t xml:space="preserve">Review Whole of Organisation Risk Assessment </w:t>
      </w:r>
    </w:p>
    <w:p w14:paraId="2239254F" w14:textId="75B0428B" w:rsidR="002D1233" w:rsidRPr="002D1233" w:rsidRDefault="002D1233" w:rsidP="002D1233">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disclosures, incidents and response timeliness (systemic review)</w:t>
      </w:r>
    </w:p>
    <w:p w14:paraId="0558F93B" w14:textId="77777777" w:rsidR="002D1233" w:rsidRPr="002D1233" w:rsidRDefault="002D1233" w:rsidP="002D1233">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alcohol harm minimisation and anti-hazing controls</w:t>
      </w:r>
    </w:p>
    <w:p w14:paraId="415E0262" w14:textId="77777777" w:rsidR="002D1233" w:rsidRPr="002D1233" w:rsidRDefault="002D1233" w:rsidP="002D1233">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Conduct student safety pulse check (or equivalent feedback mechanism)</w:t>
      </w:r>
    </w:p>
    <w:p w14:paraId="4E8E3B0C" w14:textId="77777777" w:rsidR="002D1233" w:rsidRPr="002D1233" w:rsidRDefault="002D1233" w:rsidP="002D1233">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Prepare mid-year Outcomes Framework report</w:t>
      </w:r>
    </w:p>
    <w:p w14:paraId="417C2635" w14:textId="77777777" w:rsidR="002D1233" w:rsidRDefault="002D1233" w:rsidP="002D1233">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training completion and capability gaps</w:t>
      </w:r>
    </w:p>
    <w:p w14:paraId="1EB79A23" w14:textId="6F298319" w:rsidR="00426AAF" w:rsidRPr="002D1233" w:rsidRDefault="00426AAF" w:rsidP="002D1233">
      <w:pPr>
        <w:numPr>
          <w:ilvl w:val="0"/>
          <w:numId w:val="34"/>
        </w:numPr>
        <w:spacing w:before="100" w:beforeAutospacing="1" w:after="100" w:afterAutospacing="1"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t xml:space="preserve">Plan for mid-year student intake training </w:t>
      </w:r>
    </w:p>
    <w:p w14:paraId="52D299D7"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Reporting</w:t>
      </w:r>
    </w:p>
    <w:p w14:paraId="7464BE18" w14:textId="77777777" w:rsidR="002D1233" w:rsidRPr="002D1233" w:rsidRDefault="002D1233" w:rsidP="002D1233">
      <w:pPr>
        <w:numPr>
          <w:ilvl w:val="0"/>
          <w:numId w:val="3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Mid-year report to Council</w:t>
      </w:r>
    </w:p>
    <w:p w14:paraId="57DD9BA0" w14:textId="77777777" w:rsidR="002D1233" w:rsidRPr="002D1233" w:rsidRDefault="002D1233" w:rsidP="002D1233">
      <w:pPr>
        <w:numPr>
          <w:ilvl w:val="0"/>
          <w:numId w:val="3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Six-monthly report to the University</w:t>
      </w:r>
    </w:p>
    <w:p w14:paraId="6BA81B2B" w14:textId="77777777" w:rsidR="002D1233" w:rsidRPr="002D1233" w:rsidRDefault="002D1233" w:rsidP="002D1233">
      <w:pPr>
        <w:numPr>
          <w:ilvl w:val="0"/>
          <w:numId w:val="35"/>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Risk and assurance reporting via FARM</w:t>
      </w:r>
    </w:p>
    <w:p w14:paraId="2B273CDB" w14:textId="77777777" w:rsidR="002D1233" w:rsidRPr="002D1233" w:rsidRDefault="00E07FE5" w:rsidP="002D1233">
      <w:pPr>
        <w:spacing w:after="0"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pict w14:anchorId="13AD9F4D">
          <v:rect id="_x0000_i1027" style="width:0;height:1.5pt" o:hralign="center" o:hrstd="t" o:hr="t" fillcolor="#a0a0a0" stroked="f"/>
        </w:pict>
      </w:r>
    </w:p>
    <w:p w14:paraId="1B565755" w14:textId="77777777" w:rsidR="002D1233" w:rsidRP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color w:val="EE0000"/>
          <w:lang w:val="en-AU" w:eastAsia="en-AU"/>
        </w:rPr>
      </w:pPr>
      <w:r w:rsidRPr="002D1233">
        <w:rPr>
          <w:rFonts w:ascii="HelveticaNeueLT Pro 55 Roman" w:eastAsia="Times New Roman" w:hAnsi="HelveticaNeueLT Pro 55 Roman" w:cs="Times New Roman"/>
          <w:b/>
          <w:bCs/>
          <w:color w:val="EE0000"/>
          <w:lang w:val="en-AU" w:eastAsia="en-AU"/>
        </w:rPr>
        <w:t>Quarter 3 (July–September): Embedding and Continuous Improvement</w:t>
      </w:r>
    </w:p>
    <w:p w14:paraId="5A610D14"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Key obligations</w:t>
      </w:r>
    </w:p>
    <w:p w14:paraId="583F90C1" w14:textId="77777777" w:rsidR="002D1233" w:rsidRPr="002D1233" w:rsidRDefault="002D1233" w:rsidP="002D1233">
      <w:pPr>
        <w:numPr>
          <w:ilvl w:val="0"/>
          <w:numId w:val="3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Embed GBV prevention into everyday operations and culture</w:t>
      </w:r>
    </w:p>
    <w:p w14:paraId="19A129D0" w14:textId="77777777" w:rsidR="002D1233" w:rsidRDefault="002D1233" w:rsidP="002D1233">
      <w:pPr>
        <w:numPr>
          <w:ilvl w:val="0"/>
          <w:numId w:val="3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Respond to findings from mid-year reviews</w:t>
      </w:r>
    </w:p>
    <w:p w14:paraId="1485DAE9" w14:textId="6F623D21" w:rsidR="00426AAF" w:rsidRPr="002D1233" w:rsidRDefault="007F723C" w:rsidP="002D1233">
      <w:pPr>
        <w:numPr>
          <w:ilvl w:val="0"/>
          <w:numId w:val="36"/>
        </w:numPr>
        <w:spacing w:before="100" w:beforeAutospacing="1" w:after="100" w:afterAutospacing="1"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t xml:space="preserve">Deliver training for mid-year intake and address gaps </w:t>
      </w:r>
    </w:p>
    <w:p w14:paraId="56CDC10A" w14:textId="77777777" w:rsidR="002D1233" w:rsidRPr="002D1233" w:rsidRDefault="002D1233" w:rsidP="002D1233">
      <w:pPr>
        <w:numPr>
          <w:ilvl w:val="0"/>
          <w:numId w:val="36"/>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Maintain ongoing prevention activity</w:t>
      </w:r>
    </w:p>
    <w:p w14:paraId="18A19946" w14:textId="77777777" w:rsidR="007F723C" w:rsidRDefault="007F723C"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p>
    <w:p w14:paraId="2E738A7B" w14:textId="26D01AD1"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lastRenderedPageBreak/>
        <w:t>Actions</w:t>
      </w:r>
    </w:p>
    <w:p w14:paraId="62D595E1" w14:textId="7DDDB3FC" w:rsidR="00426AAF" w:rsidRPr="002D1233" w:rsidRDefault="00426AAF" w:rsidP="00426AAF">
      <w:pPr>
        <w:numPr>
          <w:ilvl w:val="0"/>
          <w:numId w:val="3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Deliver mandatory GBV training to</w:t>
      </w:r>
      <w:r>
        <w:rPr>
          <w:rFonts w:ascii="HelveticaNeueLT Pro 55 Roman" w:eastAsia="Times New Roman" w:hAnsi="HelveticaNeueLT Pro 55 Roman" w:cs="Times New Roman"/>
          <w:lang w:val="en-AU" w:eastAsia="en-AU"/>
        </w:rPr>
        <w:t xml:space="preserve"> new students and any new staff </w:t>
      </w:r>
    </w:p>
    <w:p w14:paraId="1A9F0D80" w14:textId="17A02237" w:rsidR="00426AAF" w:rsidRPr="00426AAF" w:rsidRDefault="00426AAF" w:rsidP="002D1233">
      <w:pPr>
        <w:numPr>
          <w:ilvl w:val="0"/>
          <w:numId w:val="3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 xml:space="preserve">Embed GBV prevention messaging into orientation and </w:t>
      </w:r>
      <w:r w:rsidRPr="00426AAF">
        <w:rPr>
          <w:rFonts w:ascii="HelveticaNeueLT Pro 55 Roman" w:eastAsia="Times New Roman" w:hAnsi="HelveticaNeueLT Pro 55 Roman" w:cs="Times New Roman"/>
          <w:lang w:val="en-AU" w:eastAsia="en-AU"/>
        </w:rPr>
        <w:t>Raid Week</w:t>
      </w:r>
    </w:p>
    <w:p w14:paraId="21944F1A" w14:textId="4DE30E0E" w:rsidR="002D1233" w:rsidRPr="002D1233" w:rsidRDefault="002D1233" w:rsidP="002D1233">
      <w:pPr>
        <w:numPr>
          <w:ilvl w:val="0"/>
          <w:numId w:val="3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Refresh GBV prevention messaging and student communications</w:t>
      </w:r>
    </w:p>
    <w:p w14:paraId="354FBA1A" w14:textId="77777777" w:rsidR="002D1233" w:rsidRPr="002D1233" w:rsidRDefault="002D1233" w:rsidP="002D1233">
      <w:pPr>
        <w:numPr>
          <w:ilvl w:val="0"/>
          <w:numId w:val="3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Implement improvements arising from mid-year reviews</w:t>
      </w:r>
    </w:p>
    <w:p w14:paraId="4EA35601" w14:textId="77777777" w:rsidR="002D1233" w:rsidRPr="002D1233" w:rsidRDefault="002D1233" w:rsidP="002D1233">
      <w:pPr>
        <w:numPr>
          <w:ilvl w:val="0"/>
          <w:numId w:val="3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anonymous reporting channels and feedback trends</w:t>
      </w:r>
    </w:p>
    <w:p w14:paraId="6B27470B" w14:textId="77777777" w:rsidR="002D1233" w:rsidRPr="002D1233" w:rsidRDefault="002D1233" w:rsidP="002D1233">
      <w:pPr>
        <w:numPr>
          <w:ilvl w:val="0"/>
          <w:numId w:val="3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Confirm inclusive accommodation options remain fit-for-purpose</w:t>
      </w:r>
    </w:p>
    <w:p w14:paraId="5CDD534D" w14:textId="77777777" w:rsidR="002D1233" w:rsidRPr="002D1233" w:rsidRDefault="002D1233" w:rsidP="002D1233">
      <w:pPr>
        <w:numPr>
          <w:ilvl w:val="0"/>
          <w:numId w:val="37"/>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Provide targeted or refresher training where gaps are identified</w:t>
      </w:r>
    </w:p>
    <w:p w14:paraId="31D196CD"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Reporting</w:t>
      </w:r>
    </w:p>
    <w:p w14:paraId="50930A8B" w14:textId="77777777" w:rsidR="002D1233" w:rsidRPr="002D1233" w:rsidRDefault="002D1233" w:rsidP="002D1233">
      <w:pPr>
        <w:numPr>
          <w:ilvl w:val="0"/>
          <w:numId w:val="38"/>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Progress update to Council (via Culture Committee)</w:t>
      </w:r>
    </w:p>
    <w:p w14:paraId="340848B2" w14:textId="77777777" w:rsidR="002D1233" w:rsidRPr="002D1233" w:rsidRDefault="002D1233" w:rsidP="002D1233">
      <w:pPr>
        <w:numPr>
          <w:ilvl w:val="0"/>
          <w:numId w:val="38"/>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Risk update via FARM (as required)</w:t>
      </w:r>
    </w:p>
    <w:p w14:paraId="3CD9921B" w14:textId="77777777" w:rsidR="002D1233" w:rsidRPr="002D1233" w:rsidRDefault="00E07FE5" w:rsidP="002D1233">
      <w:pPr>
        <w:spacing w:after="0"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pict w14:anchorId="06C51090">
          <v:rect id="_x0000_i1028" style="width:0;height:1.5pt" o:hralign="center" o:hrstd="t" o:hr="t" fillcolor="#a0a0a0" stroked="f"/>
        </w:pict>
      </w:r>
    </w:p>
    <w:p w14:paraId="01C6ED8E" w14:textId="236CEF49" w:rsidR="002D1233" w:rsidRP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color w:val="EE0000"/>
          <w:lang w:val="en-AU" w:eastAsia="en-AU"/>
        </w:rPr>
      </w:pPr>
      <w:r w:rsidRPr="002D1233">
        <w:rPr>
          <w:rFonts w:ascii="HelveticaNeueLT Pro 55 Roman" w:eastAsia="Times New Roman" w:hAnsi="HelveticaNeueLT Pro 55 Roman" w:cs="Times New Roman"/>
          <w:b/>
          <w:bCs/>
          <w:color w:val="EE0000"/>
          <w:lang w:val="en-AU" w:eastAsia="en-AU"/>
        </w:rPr>
        <w:t xml:space="preserve">Quarter 4 (October–December): Evaluation, Reporting and </w:t>
      </w:r>
      <w:r w:rsidR="00426AAF" w:rsidRPr="007F723C">
        <w:rPr>
          <w:rFonts w:ascii="HelveticaNeueLT Pro 55 Roman" w:eastAsia="Times New Roman" w:hAnsi="HelveticaNeueLT Pro 55 Roman" w:cs="Times New Roman"/>
          <w:b/>
          <w:bCs/>
          <w:color w:val="EE0000"/>
          <w:lang w:val="en-AU" w:eastAsia="en-AU"/>
        </w:rPr>
        <w:t>Preparation</w:t>
      </w:r>
    </w:p>
    <w:p w14:paraId="47940899"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Key obligations</w:t>
      </w:r>
    </w:p>
    <w:p w14:paraId="151AAF47" w14:textId="77777777" w:rsidR="002D1233" w:rsidRPr="002D1233" w:rsidRDefault="002D1233" w:rsidP="002D1233">
      <w:pPr>
        <w:numPr>
          <w:ilvl w:val="0"/>
          <w:numId w:val="3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Evaluate performance across the year</w:t>
      </w:r>
    </w:p>
    <w:p w14:paraId="3BC2EB2B" w14:textId="77777777" w:rsidR="002D1233" w:rsidRPr="002D1233" w:rsidRDefault="002D1233" w:rsidP="002D1233">
      <w:pPr>
        <w:numPr>
          <w:ilvl w:val="0"/>
          <w:numId w:val="3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Meet annual reporting requirements</w:t>
      </w:r>
    </w:p>
    <w:p w14:paraId="3FC4A930" w14:textId="77777777" w:rsidR="002D1233" w:rsidRPr="002D1233" w:rsidRDefault="002D1233" w:rsidP="002D1233">
      <w:pPr>
        <w:numPr>
          <w:ilvl w:val="0"/>
          <w:numId w:val="3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Prepare for the following year</w:t>
      </w:r>
    </w:p>
    <w:p w14:paraId="769B64BC"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Actions</w:t>
      </w:r>
    </w:p>
    <w:p w14:paraId="42747962" w14:textId="77777777" w:rsidR="002D1233" w:rsidRPr="002D1233" w:rsidRDefault="002D1233" w:rsidP="002D1233">
      <w:pPr>
        <w:numPr>
          <w:ilvl w:val="0"/>
          <w:numId w:val="4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Conduct annual systemic review of disclosures, responses and outcomes</w:t>
      </w:r>
    </w:p>
    <w:p w14:paraId="09616C76" w14:textId="77777777" w:rsidR="002D1233" w:rsidRPr="002D1233" w:rsidRDefault="002D1233" w:rsidP="002D1233">
      <w:pPr>
        <w:numPr>
          <w:ilvl w:val="0"/>
          <w:numId w:val="4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effectiveness of training and capability building</w:t>
      </w:r>
    </w:p>
    <w:p w14:paraId="798AA5C2" w14:textId="77777777" w:rsidR="002D1233" w:rsidRPr="002D1233" w:rsidRDefault="002D1233" w:rsidP="002D1233">
      <w:pPr>
        <w:numPr>
          <w:ilvl w:val="0"/>
          <w:numId w:val="4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GBV-related incidents, trends and controls</w:t>
      </w:r>
    </w:p>
    <w:p w14:paraId="5705FAD6" w14:textId="77777777" w:rsidR="002D1233" w:rsidRPr="002D1233" w:rsidRDefault="002D1233" w:rsidP="002D1233">
      <w:pPr>
        <w:numPr>
          <w:ilvl w:val="0"/>
          <w:numId w:val="4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Review and update policies and procedures (if required)</w:t>
      </w:r>
    </w:p>
    <w:p w14:paraId="1B74CB39" w14:textId="77777777" w:rsidR="002D1233" w:rsidRPr="002D1233" w:rsidRDefault="002D1233" w:rsidP="002D1233">
      <w:pPr>
        <w:numPr>
          <w:ilvl w:val="0"/>
          <w:numId w:val="4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Prepare end-of-year Outcomes Framework report</w:t>
      </w:r>
    </w:p>
    <w:p w14:paraId="6AA4F743" w14:textId="77777777" w:rsidR="002D1233" w:rsidRDefault="002D1233" w:rsidP="002D1233">
      <w:pPr>
        <w:numPr>
          <w:ilvl w:val="0"/>
          <w:numId w:val="4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Confirm priorities for the following year’s implementation</w:t>
      </w:r>
    </w:p>
    <w:p w14:paraId="7312DF60" w14:textId="2BE15931" w:rsidR="00426AAF" w:rsidRPr="002D1233" w:rsidRDefault="00426AAF" w:rsidP="002D1233">
      <w:pPr>
        <w:numPr>
          <w:ilvl w:val="0"/>
          <w:numId w:val="40"/>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 xml:space="preserve">Plan annual GBV training program </w:t>
      </w:r>
    </w:p>
    <w:p w14:paraId="55AEAFF6" w14:textId="77777777" w:rsidR="002D1233" w:rsidRPr="002D1233" w:rsidRDefault="002D1233" w:rsidP="002D1233">
      <w:pPr>
        <w:spacing w:before="100" w:beforeAutospacing="1" w:after="100" w:afterAutospacing="1" w:line="240" w:lineRule="auto"/>
        <w:outlineLvl w:val="2"/>
        <w:rPr>
          <w:rFonts w:ascii="HelveticaNeueLT Pro 55 Roman" w:eastAsia="Times New Roman" w:hAnsi="HelveticaNeueLT Pro 55 Roman" w:cs="Times New Roman"/>
          <w:b/>
          <w:bCs/>
          <w:lang w:val="en-AU" w:eastAsia="en-AU"/>
        </w:rPr>
      </w:pPr>
      <w:r w:rsidRPr="002D1233">
        <w:rPr>
          <w:rFonts w:ascii="HelveticaNeueLT Pro 55 Roman" w:eastAsia="Times New Roman" w:hAnsi="HelveticaNeueLT Pro 55 Roman" w:cs="Times New Roman"/>
          <w:b/>
          <w:bCs/>
          <w:lang w:val="en-AU" w:eastAsia="en-AU"/>
        </w:rPr>
        <w:t>Reporting</w:t>
      </w:r>
    </w:p>
    <w:p w14:paraId="29A15C6A" w14:textId="77777777" w:rsidR="002D1233" w:rsidRPr="002D1233" w:rsidRDefault="002D1233" w:rsidP="002D1233">
      <w:pPr>
        <w:numPr>
          <w:ilvl w:val="0"/>
          <w:numId w:val="4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lastRenderedPageBreak/>
        <w:t>End-of-year report to Council</w:t>
      </w:r>
    </w:p>
    <w:p w14:paraId="2E632580" w14:textId="77777777" w:rsidR="002D1233" w:rsidRPr="002D1233" w:rsidRDefault="002D1233" w:rsidP="002D1233">
      <w:pPr>
        <w:numPr>
          <w:ilvl w:val="0"/>
          <w:numId w:val="4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Six-monthly report to the University</w:t>
      </w:r>
    </w:p>
    <w:p w14:paraId="2CA274EB" w14:textId="77777777" w:rsidR="002D1233" w:rsidRPr="002D1233" w:rsidRDefault="002D1233" w:rsidP="002D1233">
      <w:pPr>
        <w:numPr>
          <w:ilvl w:val="0"/>
          <w:numId w:val="41"/>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Council endorsement of any updates</w:t>
      </w:r>
    </w:p>
    <w:p w14:paraId="6F6C37E8" w14:textId="77777777" w:rsidR="002D1233" w:rsidRPr="002D1233" w:rsidRDefault="00E07FE5" w:rsidP="002D1233">
      <w:pPr>
        <w:spacing w:after="0" w:line="240" w:lineRule="auto"/>
        <w:rPr>
          <w:rFonts w:ascii="HelveticaNeueLT Pro 55 Roman" w:eastAsia="Times New Roman" w:hAnsi="HelveticaNeueLT Pro 55 Roman" w:cs="Times New Roman"/>
          <w:lang w:val="en-AU" w:eastAsia="en-AU"/>
        </w:rPr>
      </w:pPr>
      <w:r>
        <w:rPr>
          <w:rFonts w:ascii="HelveticaNeueLT Pro 55 Roman" w:eastAsia="Times New Roman" w:hAnsi="HelveticaNeueLT Pro 55 Roman" w:cs="Times New Roman"/>
          <w:lang w:val="en-AU" w:eastAsia="en-AU"/>
        </w:rPr>
        <w:pict w14:anchorId="511911A5">
          <v:rect id="_x0000_i1029" style="width:0;height:1.5pt" o:hralign="center" o:hrstd="t" o:hr="t" fillcolor="#a0a0a0" stroked="f"/>
        </w:pict>
      </w:r>
    </w:p>
    <w:p w14:paraId="25A9A5A3" w14:textId="270D9519" w:rsidR="002D1233" w:rsidRPr="002D1233" w:rsidRDefault="002D1233" w:rsidP="002D1233">
      <w:pPr>
        <w:spacing w:before="100" w:beforeAutospacing="1" w:after="100" w:afterAutospacing="1" w:line="240" w:lineRule="auto"/>
        <w:outlineLvl w:val="1"/>
        <w:rPr>
          <w:rFonts w:ascii="HelveticaNeueLT Pro 55 Roman" w:eastAsia="Times New Roman" w:hAnsi="HelveticaNeueLT Pro 55 Roman" w:cs="Times New Roman"/>
          <w:b/>
          <w:bCs/>
          <w:color w:val="EE0000"/>
          <w:lang w:val="en-AU" w:eastAsia="en-AU"/>
        </w:rPr>
      </w:pPr>
      <w:r w:rsidRPr="002D1233">
        <w:rPr>
          <w:rFonts w:ascii="HelveticaNeueLT Pro 55 Roman" w:eastAsia="Times New Roman" w:hAnsi="HelveticaNeueLT Pro 55 Roman" w:cs="Times New Roman"/>
          <w:b/>
          <w:bCs/>
          <w:color w:val="EE0000"/>
          <w:lang w:val="en-AU" w:eastAsia="en-AU"/>
        </w:rPr>
        <w:t>Standing Obligations</w:t>
      </w:r>
    </w:p>
    <w:p w14:paraId="7844167C" w14:textId="77777777" w:rsidR="002D1233" w:rsidRPr="002D1233" w:rsidRDefault="002D1233" w:rsidP="002D1233">
      <w:p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These activities occur continuously, regardless of quarter:</w:t>
      </w:r>
    </w:p>
    <w:p w14:paraId="671F7CB2" w14:textId="77777777" w:rsidR="002D1233" w:rsidRPr="002D1233" w:rsidRDefault="002D1233" w:rsidP="002D1233">
      <w:pPr>
        <w:numPr>
          <w:ilvl w:val="0"/>
          <w:numId w:val="4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Receiving and responding to disclosures</w:t>
      </w:r>
    </w:p>
    <w:p w14:paraId="3DFF9700" w14:textId="77777777" w:rsidR="002D1233" w:rsidRPr="002D1233" w:rsidRDefault="002D1233" w:rsidP="002D1233">
      <w:pPr>
        <w:numPr>
          <w:ilvl w:val="0"/>
          <w:numId w:val="4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Providing person-centred, trauma-informed supports</w:t>
      </w:r>
    </w:p>
    <w:p w14:paraId="1150A8C7" w14:textId="77777777" w:rsidR="002D1233" w:rsidRPr="002D1233" w:rsidRDefault="002D1233" w:rsidP="002D1233">
      <w:pPr>
        <w:numPr>
          <w:ilvl w:val="0"/>
          <w:numId w:val="4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After-hours crisis response</w:t>
      </w:r>
    </w:p>
    <w:p w14:paraId="5E67A299" w14:textId="77777777" w:rsidR="002D1233" w:rsidRPr="002D1233" w:rsidRDefault="002D1233" w:rsidP="002D1233">
      <w:pPr>
        <w:numPr>
          <w:ilvl w:val="0"/>
          <w:numId w:val="4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Confidential record-keeping and privacy compliance</w:t>
      </w:r>
    </w:p>
    <w:p w14:paraId="48D5AC49" w14:textId="77777777" w:rsidR="002D1233" w:rsidRPr="002D1233" w:rsidRDefault="002D1233" w:rsidP="002D1233">
      <w:pPr>
        <w:numPr>
          <w:ilvl w:val="0"/>
          <w:numId w:val="4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Enforcement of behavioural standards and anti-hazing expectations</w:t>
      </w:r>
    </w:p>
    <w:p w14:paraId="483F4B27" w14:textId="77777777" w:rsidR="002D1233" w:rsidRPr="002D1233" w:rsidRDefault="002D1233" w:rsidP="002D1233">
      <w:pPr>
        <w:numPr>
          <w:ilvl w:val="0"/>
          <w:numId w:val="4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Early intervention and pastoral care coordination</w:t>
      </w:r>
    </w:p>
    <w:p w14:paraId="3F3300D1" w14:textId="77777777" w:rsidR="002D1233" w:rsidRPr="002D1233" w:rsidRDefault="002D1233" w:rsidP="002D1233">
      <w:pPr>
        <w:numPr>
          <w:ilvl w:val="0"/>
          <w:numId w:val="42"/>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Staff supervision and professional boundaries oversight</w:t>
      </w:r>
    </w:p>
    <w:p w14:paraId="22B3301D" w14:textId="77777777" w:rsidR="002D1233" w:rsidRPr="002D1233" w:rsidRDefault="002D1233" w:rsidP="002D1233">
      <w:pPr>
        <w:spacing w:before="100" w:beforeAutospacing="1" w:after="100" w:afterAutospacing="1" w:line="240" w:lineRule="auto"/>
        <w:rPr>
          <w:rFonts w:ascii="HelveticaNeueLT Pro 55 Roman" w:eastAsia="Times New Roman" w:hAnsi="HelveticaNeueLT Pro 55 Roman" w:cs="Times New Roman"/>
          <w:lang w:val="en-AU" w:eastAsia="en-AU"/>
        </w:rPr>
      </w:pPr>
      <w:r w:rsidRPr="002D1233">
        <w:rPr>
          <w:rFonts w:ascii="HelveticaNeueLT Pro 55 Roman" w:eastAsia="Times New Roman" w:hAnsi="HelveticaNeueLT Pro 55 Roman" w:cs="Times New Roman"/>
          <w:lang w:val="en-AU" w:eastAsia="en-AU"/>
        </w:rPr>
        <w:t>These are reported by exception, and through the scheduled reviews above.</w:t>
      </w:r>
    </w:p>
    <w:p w14:paraId="6FC31448" w14:textId="77777777" w:rsidR="0020146D" w:rsidRPr="002D1233"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2D5069AB" w14:textId="77777777" w:rsidR="0020146D" w:rsidRPr="002D1233"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766FF90C" w14:textId="77777777" w:rsidR="0020146D" w:rsidRPr="002D1233"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0D9EDBA9" w14:textId="77777777" w:rsid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7EAF7C12" w14:textId="77777777" w:rsidR="00BA5847" w:rsidRDefault="00BA5847"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4E60F38F" w14:textId="77777777" w:rsidR="00BA5847" w:rsidRDefault="00BA5847"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7B2CA4D5" w14:textId="77777777" w:rsidR="00BA5847" w:rsidRDefault="00BA5847"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3CCD8F94" w14:textId="77777777" w:rsidR="007F723C" w:rsidRDefault="007F723C"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5CCB67DD" w14:textId="77777777" w:rsidR="007F723C" w:rsidRDefault="007F723C"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30E2CB4D" w14:textId="77777777" w:rsidR="007F723C" w:rsidRDefault="007F723C"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2A10248E" w14:textId="77777777" w:rsidR="00BA5847" w:rsidRDefault="00BA5847"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p>
    <w:p w14:paraId="1B91313C" w14:textId="536B42A6" w:rsidR="0020146D" w:rsidRPr="0020146D" w:rsidRDefault="002D1233" w:rsidP="0020146D">
      <w:pPr>
        <w:spacing w:before="100" w:beforeAutospacing="1" w:after="100" w:afterAutospacing="1" w:line="240" w:lineRule="auto"/>
        <w:outlineLvl w:val="1"/>
        <w:rPr>
          <w:rFonts w:ascii="HelveticaNeueLT Pro 55 Roman" w:eastAsia="Times New Roman" w:hAnsi="HelveticaNeueLT Pro 55 Roman" w:cs="Times New Roman"/>
          <w:b/>
          <w:bCs/>
          <w:color w:val="3F0065"/>
          <w:sz w:val="28"/>
          <w:szCs w:val="28"/>
          <w:lang w:val="en-AU" w:eastAsia="en-AU"/>
        </w:rPr>
      </w:pPr>
      <w:r w:rsidRPr="00426AAF">
        <w:rPr>
          <w:rFonts w:ascii="HelveticaNeueLT Pro 55 Roman" w:eastAsia="Times New Roman" w:hAnsi="HelveticaNeueLT Pro 55 Roman" w:cs="Times New Roman"/>
          <w:b/>
          <w:bCs/>
          <w:color w:val="3F0065"/>
          <w:sz w:val="28"/>
          <w:szCs w:val="28"/>
          <w:lang w:val="en-AU" w:eastAsia="en-AU"/>
        </w:rPr>
        <w:t xml:space="preserve">Appendix 2: </w:t>
      </w:r>
      <w:r w:rsidR="0020146D" w:rsidRPr="0020146D">
        <w:rPr>
          <w:rFonts w:ascii="HelveticaNeueLT Pro 55 Roman" w:eastAsia="Times New Roman" w:hAnsi="HelveticaNeueLT Pro 55 Roman" w:cs="Times New Roman"/>
          <w:b/>
          <w:bCs/>
          <w:color w:val="3F0065"/>
          <w:sz w:val="28"/>
          <w:szCs w:val="28"/>
          <w:lang w:val="en-AU" w:eastAsia="en-AU"/>
        </w:rPr>
        <w:t xml:space="preserve">GBV Prevention and Response – Governance-Aligned Implementation Calendar </w:t>
      </w:r>
    </w:p>
    <w:p w14:paraId="2C1A9055" w14:textId="2DA449D6" w:rsidR="0020146D" w:rsidRPr="0020146D" w:rsidRDefault="0020146D" w:rsidP="0020146D">
      <w:pPr>
        <w:spacing w:after="0" w:line="240" w:lineRule="auto"/>
        <w:rPr>
          <w:rFonts w:ascii="HelveticaNeueLT Pro 55 Roman" w:eastAsia="Times New Roman" w:hAnsi="HelveticaNeueLT Pro 55 Roman" w:cs="Times New Roman"/>
          <w:color w:val="3F0065"/>
          <w:sz w:val="28"/>
          <w:szCs w:val="28"/>
          <w:lang w:val="en-AU" w:eastAsia="en-AU"/>
        </w:rPr>
      </w:pPr>
    </w:p>
    <w:p w14:paraId="121FD5F0" w14:textId="77777777" w:rsidR="0020146D" w:rsidRP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February–March 2026 | Establishment and Readiness</w:t>
      </w:r>
    </w:p>
    <w:tbl>
      <w:tblPr>
        <w:tblStyle w:val="TableGrid"/>
        <w:tblW w:w="13603" w:type="dxa"/>
        <w:tblLook w:val="04A0" w:firstRow="1" w:lastRow="0" w:firstColumn="1" w:lastColumn="0" w:noHBand="0" w:noVBand="1"/>
      </w:tblPr>
      <w:tblGrid>
        <w:gridCol w:w="3681"/>
        <w:gridCol w:w="9922"/>
      </w:tblGrid>
      <w:tr w:rsidR="00426AAF" w:rsidRPr="0020146D" w14:paraId="68774042" w14:textId="77777777" w:rsidTr="00426AAF">
        <w:tc>
          <w:tcPr>
            <w:tcW w:w="3681" w:type="dxa"/>
            <w:shd w:val="clear" w:color="auto" w:fill="EEECE1" w:themeFill="background2"/>
            <w:hideMark/>
          </w:tcPr>
          <w:p w14:paraId="5BE1E3D5" w14:textId="77777777" w:rsidR="00426AAF" w:rsidRPr="0020146D" w:rsidRDefault="00426AAF"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Committee</w:t>
            </w:r>
          </w:p>
        </w:tc>
        <w:tc>
          <w:tcPr>
            <w:tcW w:w="9922" w:type="dxa"/>
            <w:shd w:val="clear" w:color="auto" w:fill="EEECE1" w:themeFill="background2"/>
            <w:hideMark/>
          </w:tcPr>
          <w:p w14:paraId="03EE4FC7" w14:textId="77777777" w:rsidR="00426AAF" w:rsidRPr="0020146D" w:rsidRDefault="00426AAF"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Key GBV Actions</w:t>
            </w:r>
          </w:p>
        </w:tc>
      </w:tr>
      <w:tr w:rsidR="00426AAF" w:rsidRPr="0020146D" w14:paraId="6B750B6D" w14:textId="77777777" w:rsidTr="00426AAF">
        <w:tc>
          <w:tcPr>
            <w:tcW w:w="3681" w:type="dxa"/>
            <w:hideMark/>
          </w:tcPr>
          <w:p w14:paraId="27D5ED9E" w14:textId="77777777" w:rsidR="00426AAF" w:rsidRPr="0020146D" w:rsidRDefault="00426AAF"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FARM</w:t>
            </w:r>
          </w:p>
        </w:tc>
        <w:tc>
          <w:tcPr>
            <w:tcW w:w="9922" w:type="dxa"/>
            <w:hideMark/>
          </w:tcPr>
          <w:p w14:paraId="550993B9" w14:textId="77777777" w:rsidR="00426AAF" w:rsidRPr="0020146D" w:rsidRDefault="00426AAF"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Confirm GBV risk inclusion in enterprise risk register; confirm controls and reporting cadence</w:t>
            </w:r>
          </w:p>
        </w:tc>
      </w:tr>
      <w:tr w:rsidR="00426AAF" w:rsidRPr="0020146D" w14:paraId="313F47E2" w14:textId="77777777" w:rsidTr="00426AAF">
        <w:tc>
          <w:tcPr>
            <w:tcW w:w="3681" w:type="dxa"/>
            <w:hideMark/>
          </w:tcPr>
          <w:p w14:paraId="4C0BB314" w14:textId="77777777" w:rsidR="00426AAF" w:rsidRPr="0020146D" w:rsidRDefault="00426AAF" w:rsidP="0020146D">
            <w:pPr>
              <w:rPr>
                <w:rFonts w:ascii="HelveticaNeueLT Pro 55 Roman" w:eastAsia="Times New Roman" w:hAnsi="HelveticaNeueLT Pro 55 Roman" w:cs="Times New Roman"/>
                <w:lang w:val="en-AU" w:eastAsia="en-AU"/>
              </w:rPr>
            </w:pPr>
            <w:proofErr w:type="spellStart"/>
            <w:r w:rsidRPr="0020146D">
              <w:rPr>
                <w:rFonts w:ascii="HelveticaNeueLT Pro 55 Roman" w:eastAsia="Times New Roman" w:hAnsi="HelveticaNeueLT Pro 55 Roman" w:cs="Times New Roman"/>
                <w:lang w:val="en-AU" w:eastAsia="en-AU"/>
              </w:rPr>
              <w:t>GaS</w:t>
            </w:r>
            <w:proofErr w:type="spellEnd"/>
          </w:p>
        </w:tc>
        <w:tc>
          <w:tcPr>
            <w:tcW w:w="9922" w:type="dxa"/>
            <w:hideMark/>
          </w:tcPr>
          <w:p w14:paraId="77E1EC9D" w14:textId="77777777" w:rsidR="00426AAF" w:rsidRPr="0020146D" w:rsidRDefault="00426AAF"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Note Plan implementation approach and governance alignment</w:t>
            </w:r>
          </w:p>
        </w:tc>
      </w:tr>
      <w:tr w:rsidR="00426AAF" w:rsidRPr="0020146D" w14:paraId="25683795" w14:textId="77777777" w:rsidTr="00426AAF">
        <w:tc>
          <w:tcPr>
            <w:tcW w:w="3681" w:type="dxa"/>
            <w:hideMark/>
          </w:tcPr>
          <w:p w14:paraId="45B7E5DC" w14:textId="77777777" w:rsidR="00426AAF" w:rsidRPr="0020146D" w:rsidRDefault="00426AAF"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Council</w:t>
            </w:r>
          </w:p>
        </w:tc>
        <w:tc>
          <w:tcPr>
            <w:tcW w:w="9922" w:type="dxa"/>
            <w:hideMark/>
          </w:tcPr>
          <w:p w14:paraId="3AFA0A41" w14:textId="77777777" w:rsidR="00426AAF" w:rsidRPr="0020146D" w:rsidRDefault="00426AAF"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Endorse GBV Prevention and Response Plan; confirm reporting schedule</w:t>
            </w:r>
          </w:p>
        </w:tc>
      </w:tr>
      <w:tr w:rsidR="00426AAF" w:rsidRPr="0020146D" w14:paraId="3C53DA2D" w14:textId="77777777" w:rsidTr="00426AAF">
        <w:tc>
          <w:tcPr>
            <w:tcW w:w="3681" w:type="dxa"/>
            <w:hideMark/>
          </w:tcPr>
          <w:p w14:paraId="03BFF5B0" w14:textId="77777777" w:rsidR="00426AAF" w:rsidRPr="0020146D" w:rsidRDefault="00426AAF" w:rsidP="0020146D">
            <w:pPr>
              <w:rPr>
                <w:rFonts w:ascii="HelveticaNeueLT Pro 55 Roman" w:eastAsia="Times New Roman" w:hAnsi="HelveticaNeueLT Pro 55 Roman" w:cs="Times New Roman"/>
                <w:lang w:val="en-AU" w:eastAsia="en-AU"/>
              </w:rPr>
            </w:pPr>
            <w:proofErr w:type="spellStart"/>
            <w:r w:rsidRPr="0020146D">
              <w:rPr>
                <w:rFonts w:ascii="HelveticaNeueLT Pro 55 Roman" w:eastAsia="Times New Roman" w:hAnsi="HelveticaNeueLT Pro 55 Roman" w:cs="Times New Roman"/>
                <w:lang w:val="en-AU" w:eastAsia="en-AU"/>
              </w:rPr>
              <w:t>GaS</w:t>
            </w:r>
            <w:proofErr w:type="spellEnd"/>
          </w:p>
        </w:tc>
        <w:tc>
          <w:tcPr>
            <w:tcW w:w="9922" w:type="dxa"/>
            <w:hideMark/>
          </w:tcPr>
          <w:p w14:paraId="764125CB" w14:textId="77777777" w:rsidR="00426AAF" w:rsidRPr="0020146D" w:rsidRDefault="00426AAF"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Note progress on policy finalisation and training readiness</w:t>
            </w:r>
          </w:p>
        </w:tc>
      </w:tr>
      <w:tr w:rsidR="00426AAF" w:rsidRPr="0020146D" w14:paraId="3C47FDD8" w14:textId="77777777" w:rsidTr="00426AAF">
        <w:tc>
          <w:tcPr>
            <w:tcW w:w="3681" w:type="dxa"/>
          </w:tcPr>
          <w:p w14:paraId="0E1DC13D" w14:textId="395BD289" w:rsidR="00426AAF" w:rsidRPr="0020146D" w:rsidRDefault="00426AAF" w:rsidP="00426AAF">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Culture Committee</w:t>
            </w:r>
          </w:p>
        </w:tc>
        <w:tc>
          <w:tcPr>
            <w:tcW w:w="9922" w:type="dxa"/>
          </w:tcPr>
          <w:p w14:paraId="268AF78F" w14:textId="12A8B67A" w:rsidR="00426AAF" w:rsidRPr="0020146D" w:rsidRDefault="00426AAF" w:rsidP="00426AAF">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Review early implementation, training rollout, disclosure pathways and any emerging issues</w:t>
            </w:r>
          </w:p>
        </w:tc>
      </w:tr>
    </w:tbl>
    <w:p w14:paraId="77E5CCE2" w14:textId="4EDDBF10" w:rsidR="0020146D" w:rsidRPr="0020146D" w:rsidRDefault="0020146D" w:rsidP="0020146D">
      <w:pPr>
        <w:spacing w:after="0" w:line="240" w:lineRule="auto"/>
        <w:rPr>
          <w:rFonts w:ascii="HelveticaNeueLT Pro 55 Roman" w:eastAsia="Times New Roman" w:hAnsi="HelveticaNeueLT Pro 55 Roman" w:cs="Times New Roman"/>
          <w:lang w:val="en-AU" w:eastAsia="en-AU"/>
        </w:rPr>
      </w:pPr>
    </w:p>
    <w:p w14:paraId="45F1E074" w14:textId="77777777" w:rsidR="0020146D" w:rsidRP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April 2026 | Culture Review and Council Oversight</w:t>
      </w:r>
    </w:p>
    <w:tbl>
      <w:tblPr>
        <w:tblStyle w:val="TableGrid"/>
        <w:tblW w:w="13603" w:type="dxa"/>
        <w:tblLook w:val="04A0" w:firstRow="1" w:lastRow="0" w:firstColumn="1" w:lastColumn="0" w:noHBand="0" w:noVBand="1"/>
      </w:tblPr>
      <w:tblGrid>
        <w:gridCol w:w="3681"/>
        <w:gridCol w:w="9922"/>
      </w:tblGrid>
      <w:tr w:rsidR="00BE4920" w:rsidRPr="0020146D" w14:paraId="6F332C38" w14:textId="77777777" w:rsidTr="00426AAF">
        <w:tc>
          <w:tcPr>
            <w:tcW w:w="3681" w:type="dxa"/>
            <w:shd w:val="clear" w:color="auto" w:fill="EEECE1" w:themeFill="background2"/>
            <w:hideMark/>
          </w:tcPr>
          <w:p w14:paraId="0FF0B595"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Committee</w:t>
            </w:r>
          </w:p>
        </w:tc>
        <w:tc>
          <w:tcPr>
            <w:tcW w:w="9922" w:type="dxa"/>
            <w:shd w:val="clear" w:color="auto" w:fill="EEECE1" w:themeFill="background2"/>
            <w:hideMark/>
          </w:tcPr>
          <w:p w14:paraId="2072CD1A"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Key GBV Actions</w:t>
            </w:r>
          </w:p>
        </w:tc>
      </w:tr>
      <w:tr w:rsidR="00BE4920" w:rsidRPr="0020146D" w14:paraId="25C7FD0A" w14:textId="77777777" w:rsidTr="00B13F5C">
        <w:tc>
          <w:tcPr>
            <w:tcW w:w="3681" w:type="dxa"/>
            <w:hideMark/>
          </w:tcPr>
          <w:p w14:paraId="2E0FD5E1"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FARM</w:t>
            </w:r>
          </w:p>
        </w:tc>
        <w:tc>
          <w:tcPr>
            <w:tcW w:w="9922" w:type="dxa"/>
            <w:hideMark/>
          </w:tcPr>
          <w:p w14:paraId="308CD4AF"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Review GBV risk controls; confirm audit and monitoring arrangements</w:t>
            </w:r>
          </w:p>
        </w:tc>
      </w:tr>
      <w:tr w:rsidR="00BE4920" w:rsidRPr="0020146D" w14:paraId="6F32F059" w14:textId="77777777" w:rsidTr="00B13F5C">
        <w:tc>
          <w:tcPr>
            <w:tcW w:w="3681" w:type="dxa"/>
            <w:hideMark/>
          </w:tcPr>
          <w:p w14:paraId="227C9797"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Council</w:t>
            </w:r>
          </w:p>
        </w:tc>
        <w:tc>
          <w:tcPr>
            <w:tcW w:w="9922" w:type="dxa"/>
            <w:hideMark/>
          </w:tcPr>
          <w:p w14:paraId="20D0394D"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Receive Culture Committee insights; note implementation progress</w:t>
            </w:r>
          </w:p>
        </w:tc>
      </w:tr>
    </w:tbl>
    <w:p w14:paraId="103B7B13" w14:textId="5D72F97F" w:rsidR="0020146D" w:rsidRPr="0020146D" w:rsidRDefault="0020146D" w:rsidP="0020146D">
      <w:pPr>
        <w:spacing w:after="0" w:line="240" w:lineRule="auto"/>
        <w:rPr>
          <w:rFonts w:ascii="HelveticaNeueLT Pro 55 Roman" w:eastAsia="Times New Roman" w:hAnsi="HelveticaNeueLT Pro 55 Roman" w:cs="Times New Roman"/>
          <w:lang w:val="en-AU" w:eastAsia="en-AU"/>
        </w:rPr>
      </w:pPr>
    </w:p>
    <w:p w14:paraId="54ED3B61" w14:textId="77777777" w:rsidR="0020146D" w:rsidRP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May–June 2026 | Mid-Year Assurance and Reporting</w:t>
      </w:r>
    </w:p>
    <w:tbl>
      <w:tblPr>
        <w:tblStyle w:val="TableGrid"/>
        <w:tblW w:w="13603" w:type="dxa"/>
        <w:tblLook w:val="04A0" w:firstRow="1" w:lastRow="0" w:firstColumn="1" w:lastColumn="0" w:noHBand="0" w:noVBand="1"/>
      </w:tblPr>
      <w:tblGrid>
        <w:gridCol w:w="3681"/>
        <w:gridCol w:w="9922"/>
      </w:tblGrid>
      <w:tr w:rsidR="00BE4920" w:rsidRPr="0020146D" w14:paraId="1D85CFE4" w14:textId="77777777" w:rsidTr="00426AAF">
        <w:tc>
          <w:tcPr>
            <w:tcW w:w="3681" w:type="dxa"/>
            <w:shd w:val="clear" w:color="auto" w:fill="EEECE1" w:themeFill="background2"/>
            <w:hideMark/>
          </w:tcPr>
          <w:p w14:paraId="5B4DC908"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Committee</w:t>
            </w:r>
          </w:p>
        </w:tc>
        <w:tc>
          <w:tcPr>
            <w:tcW w:w="9922" w:type="dxa"/>
            <w:shd w:val="clear" w:color="auto" w:fill="EEECE1" w:themeFill="background2"/>
            <w:hideMark/>
          </w:tcPr>
          <w:p w14:paraId="52262C7E"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Key GBV Actions</w:t>
            </w:r>
          </w:p>
        </w:tc>
      </w:tr>
      <w:tr w:rsidR="00BE4920" w:rsidRPr="0020146D" w14:paraId="650FF46D" w14:textId="77777777" w:rsidTr="00B13F5C">
        <w:tc>
          <w:tcPr>
            <w:tcW w:w="3681" w:type="dxa"/>
            <w:hideMark/>
          </w:tcPr>
          <w:p w14:paraId="5CA1A4B7" w14:textId="77777777" w:rsidR="00BE4920" w:rsidRPr="0020146D" w:rsidRDefault="00BE4920" w:rsidP="0020146D">
            <w:pPr>
              <w:rPr>
                <w:rFonts w:ascii="HelveticaNeueLT Pro 55 Roman" w:eastAsia="Times New Roman" w:hAnsi="HelveticaNeueLT Pro 55 Roman" w:cs="Times New Roman"/>
                <w:lang w:val="en-AU" w:eastAsia="en-AU"/>
              </w:rPr>
            </w:pPr>
            <w:proofErr w:type="spellStart"/>
            <w:r w:rsidRPr="0020146D">
              <w:rPr>
                <w:rFonts w:ascii="HelveticaNeueLT Pro 55 Roman" w:eastAsia="Times New Roman" w:hAnsi="HelveticaNeueLT Pro 55 Roman" w:cs="Times New Roman"/>
                <w:lang w:val="en-AU" w:eastAsia="en-AU"/>
              </w:rPr>
              <w:t>GaS</w:t>
            </w:r>
            <w:proofErr w:type="spellEnd"/>
          </w:p>
        </w:tc>
        <w:tc>
          <w:tcPr>
            <w:tcW w:w="9922" w:type="dxa"/>
            <w:hideMark/>
          </w:tcPr>
          <w:p w14:paraId="4038FB5D"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Note cultural initiatives and prevention activity</w:t>
            </w:r>
          </w:p>
        </w:tc>
      </w:tr>
      <w:tr w:rsidR="00BE4920" w:rsidRPr="0020146D" w14:paraId="00378CAA" w14:textId="77777777" w:rsidTr="00B13F5C">
        <w:tc>
          <w:tcPr>
            <w:tcW w:w="3681" w:type="dxa"/>
            <w:hideMark/>
          </w:tcPr>
          <w:p w14:paraId="79E5B89E"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Culture Committee</w:t>
            </w:r>
          </w:p>
        </w:tc>
        <w:tc>
          <w:tcPr>
            <w:tcW w:w="9922" w:type="dxa"/>
            <w:hideMark/>
          </w:tcPr>
          <w:p w14:paraId="7CE88B5E"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Review disclosure trends, response timeliness and student feedback</w:t>
            </w:r>
          </w:p>
        </w:tc>
      </w:tr>
      <w:tr w:rsidR="00BE4920" w:rsidRPr="0020146D" w14:paraId="779F13BD" w14:textId="77777777" w:rsidTr="00B13F5C">
        <w:tc>
          <w:tcPr>
            <w:tcW w:w="3681" w:type="dxa"/>
            <w:hideMark/>
          </w:tcPr>
          <w:p w14:paraId="42FD2718"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FARM</w:t>
            </w:r>
          </w:p>
        </w:tc>
        <w:tc>
          <w:tcPr>
            <w:tcW w:w="9922" w:type="dxa"/>
            <w:hideMark/>
          </w:tcPr>
          <w:p w14:paraId="04D1971E"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Review mid-year risk position and controls</w:t>
            </w:r>
          </w:p>
        </w:tc>
      </w:tr>
      <w:tr w:rsidR="00BE4920" w:rsidRPr="0020146D" w14:paraId="453DC654" w14:textId="77777777" w:rsidTr="00B13F5C">
        <w:tc>
          <w:tcPr>
            <w:tcW w:w="3681" w:type="dxa"/>
            <w:hideMark/>
          </w:tcPr>
          <w:p w14:paraId="26971608"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Council</w:t>
            </w:r>
          </w:p>
        </w:tc>
        <w:tc>
          <w:tcPr>
            <w:tcW w:w="9922" w:type="dxa"/>
            <w:hideMark/>
          </w:tcPr>
          <w:p w14:paraId="0D34FF96"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Receive Mid-Year GBV Outcomes Framework Report (Council &amp; University)</w:t>
            </w:r>
          </w:p>
        </w:tc>
      </w:tr>
    </w:tbl>
    <w:p w14:paraId="6DEE5E21" w14:textId="7EC5CED1" w:rsidR="0020146D" w:rsidRPr="0020146D" w:rsidRDefault="0020146D" w:rsidP="0020146D">
      <w:pPr>
        <w:spacing w:after="0" w:line="240" w:lineRule="auto"/>
        <w:rPr>
          <w:rFonts w:ascii="HelveticaNeueLT Pro 55 Roman" w:eastAsia="Times New Roman" w:hAnsi="HelveticaNeueLT Pro 55 Roman" w:cs="Times New Roman"/>
          <w:lang w:val="en-AU" w:eastAsia="en-AU"/>
        </w:rPr>
      </w:pPr>
    </w:p>
    <w:p w14:paraId="6C9DFB1E" w14:textId="77777777" w:rsidR="0020146D" w:rsidRP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lastRenderedPageBreak/>
        <w:t>July–August 2026 | Embedding and Continuous Improvement</w:t>
      </w:r>
    </w:p>
    <w:tbl>
      <w:tblPr>
        <w:tblStyle w:val="TableGrid"/>
        <w:tblW w:w="13603" w:type="dxa"/>
        <w:tblLook w:val="04A0" w:firstRow="1" w:lastRow="0" w:firstColumn="1" w:lastColumn="0" w:noHBand="0" w:noVBand="1"/>
      </w:tblPr>
      <w:tblGrid>
        <w:gridCol w:w="3681"/>
        <w:gridCol w:w="9922"/>
      </w:tblGrid>
      <w:tr w:rsidR="00BE4920" w:rsidRPr="0020146D" w14:paraId="058E14A1" w14:textId="77777777" w:rsidTr="00426AAF">
        <w:tc>
          <w:tcPr>
            <w:tcW w:w="3681" w:type="dxa"/>
            <w:shd w:val="clear" w:color="auto" w:fill="EEECE1" w:themeFill="background2"/>
            <w:hideMark/>
          </w:tcPr>
          <w:p w14:paraId="34AB1AB7"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Committee</w:t>
            </w:r>
          </w:p>
        </w:tc>
        <w:tc>
          <w:tcPr>
            <w:tcW w:w="9922" w:type="dxa"/>
            <w:shd w:val="clear" w:color="auto" w:fill="EEECE1" w:themeFill="background2"/>
            <w:hideMark/>
          </w:tcPr>
          <w:p w14:paraId="232CB7A6"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Key GBV Actions</w:t>
            </w:r>
          </w:p>
        </w:tc>
      </w:tr>
      <w:tr w:rsidR="00BE4920" w:rsidRPr="0020146D" w14:paraId="534276C3" w14:textId="77777777" w:rsidTr="00BE4920">
        <w:tc>
          <w:tcPr>
            <w:tcW w:w="3681" w:type="dxa"/>
            <w:hideMark/>
          </w:tcPr>
          <w:p w14:paraId="1BF41361"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Culture Committee</w:t>
            </w:r>
          </w:p>
        </w:tc>
        <w:tc>
          <w:tcPr>
            <w:tcW w:w="9922" w:type="dxa"/>
            <w:hideMark/>
          </w:tcPr>
          <w:p w14:paraId="7D983552"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Review orientation, prevention messaging and residential culture issues</w:t>
            </w:r>
          </w:p>
        </w:tc>
      </w:tr>
      <w:tr w:rsidR="00BE4920" w:rsidRPr="0020146D" w14:paraId="13FD24A4" w14:textId="77777777" w:rsidTr="00BE4920">
        <w:tc>
          <w:tcPr>
            <w:tcW w:w="3681" w:type="dxa"/>
            <w:hideMark/>
          </w:tcPr>
          <w:p w14:paraId="30F265B2" w14:textId="77777777" w:rsidR="00BE4920" w:rsidRPr="0020146D" w:rsidRDefault="00BE4920" w:rsidP="0020146D">
            <w:pPr>
              <w:rPr>
                <w:rFonts w:ascii="HelveticaNeueLT Pro 55 Roman" w:eastAsia="Times New Roman" w:hAnsi="HelveticaNeueLT Pro 55 Roman" w:cs="Times New Roman"/>
                <w:lang w:val="en-AU" w:eastAsia="en-AU"/>
              </w:rPr>
            </w:pPr>
            <w:proofErr w:type="spellStart"/>
            <w:r w:rsidRPr="0020146D">
              <w:rPr>
                <w:rFonts w:ascii="HelveticaNeueLT Pro 55 Roman" w:eastAsia="Times New Roman" w:hAnsi="HelveticaNeueLT Pro 55 Roman" w:cs="Times New Roman"/>
                <w:lang w:val="en-AU" w:eastAsia="en-AU"/>
              </w:rPr>
              <w:t>GaS</w:t>
            </w:r>
            <w:proofErr w:type="spellEnd"/>
          </w:p>
        </w:tc>
        <w:tc>
          <w:tcPr>
            <w:tcW w:w="9922" w:type="dxa"/>
            <w:hideMark/>
          </w:tcPr>
          <w:p w14:paraId="5E3435B4"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Note embedding of GBV prevention in student life</w:t>
            </w:r>
          </w:p>
        </w:tc>
      </w:tr>
      <w:tr w:rsidR="00BE4920" w:rsidRPr="0020146D" w14:paraId="1D8DCDC1" w14:textId="77777777" w:rsidTr="00BE4920">
        <w:tc>
          <w:tcPr>
            <w:tcW w:w="3681" w:type="dxa"/>
            <w:hideMark/>
          </w:tcPr>
          <w:p w14:paraId="74BA9440"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FARM</w:t>
            </w:r>
          </w:p>
        </w:tc>
        <w:tc>
          <w:tcPr>
            <w:tcW w:w="9922" w:type="dxa"/>
            <w:hideMark/>
          </w:tcPr>
          <w:p w14:paraId="34D65529"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Review any incidents, emerging risks or control gaps</w:t>
            </w:r>
          </w:p>
        </w:tc>
      </w:tr>
      <w:tr w:rsidR="00BE4920" w:rsidRPr="0020146D" w14:paraId="14E2B2A0" w14:textId="77777777" w:rsidTr="00BE4920">
        <w:tc>
          <w:tcPr>
            <w:tcW w:w="3681" w:type="dxa"/>
            <w:hideMark/>
          </w:tcPr>
          <w:p w14:paraId="7FA7BDB8"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Council</w:t>
            </w:r>
          </w:p>
        </w:tc>
        <w:tc>
          <w:tcPr>
            <w:tcW w:w="9922" w:type="dxa"/>
            <w:hideMark/>
          </w:tcPr>
          <w:p w14:paraId="6126499B"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Receive Culture Committee report; note improvement actions</w:t>
            </w:r>
          </w:p>
        </w:tc>
      </w:tr>
    </w:tbl>
    <w:p w14:paraId="57EB6C81" w14:textId="5117A5C7" w:rsidR="0020146D" w:rsidRPr="0020146D" w:rsidRDefault="0020146D" w:rsidP="0020146D">
      <w:pPr>
        <w:spacing w:after="0" w:line="240" w:lineRule="auto"/>
        <w:rPr>
          <w:rFonts w:ascii="HelveticaNeueLT Pro 55 Roman" w:eastAsia="Times New Roman" w:hAnsi="HelveticaNeueLT Pro 55 Roman" w:cs="Times New Roman"/>
          <w:lang w:val="en-AU" w:eastAsia="en-AU"/>
        </w:rPr>
      </w:pPr>
    </w:p>
    <w:p w14:paraId="7DAE7C88" w14:textId="77777777" w:rsidR="0020146D" w:rsidRP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September–October 2026 | Evaluation and Forward Planning</w:t>
      </w:r>
    </w:p>
    <w:tbl>
      <w:tblPr>
        <w:tblStyle w:val="TableGrid"/>
        <w:tblW w:w="13603" w:type="dxa"/>
        <w:tblLook w:val="04A0" w:firstRow="1" w:lastRow="0" w:firstColumn="1" w:lastColumn="0" w:noHBand="0" w:noVBand="1"/>
      </w:tblPr>
      <w:tblGrid>
        <w:gridCol w:w="3681"/>
        <w:gridCol w:w="9922"/>
      </w:tblGrid>
      <w:tr w:rsidR="00BE4920" w:rsidRPr="0020146D" w14:paraId="22B011A0" w14:textId="77777777" w:rsidTr="00426AAF">
        <w:tc>
          <w:tcPr>
            <w:tcW w:w="3681" w:type="dxa"/>
            <w:shd w:val="clear" w:color="auto" w:fill="EEECE1" w:themeFill="background2"/>
            <w:hideMark/>
          </w:tcPr>
          <w:p w14:paraId="6E4FAA2D"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Committee</w:t>
            </w:r>
          </w:p>
        </w:tc>
        <w:tc>
          <w:tcPr>
            <w:tcW w:w="9922" w:type="dxa"/>
            <w:shd w:val="clear" w:color="auto" w:fill="EEECE1" w:themeFill="background2"/>
            <w:hideMark/>
          </w:tcPr>
          <w:p w14:paraId="01408161"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Key GBV Actions</w:t>
            </w:r>
          </w:p>
        </w:tc>
      </w:tr>
      <w:tr w:rsidR="00BE4920" w:rsidRPr="0020146D" w14:paraId="5A310066" w14:textId="77777777" w:rsidTr="00BE4920">
        <w:tc>
          <w:tcPr>
            <w:tcW w:w="3681" w:type="dxa"/>
            <w:hideMark/>
          </w:tcPr>
          <w:p w14:paraId="51E937DE"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b/>
                <w:bCs/>
                <w:lang w:val="en-AU" w:eastAsia="en-AU"/>
              </w:rPr>
              <w:t>Culture Committee</w:t>
            </w:r>
          </w:p>
        </w:tc>
        <w:tc>
          <w:tcPr>
            <w:tcW w:w="9922" w:type="dxa"/>
            <w:hideMark/>
          </w:tcPr>
          <w:p w14:paraId="7B111A75"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Annual systemic review of disclosures and responses</w:t>
            </w:r>
          </w:p>
        </w:tc>
      </w:tr>
      <w:tr w:rsidR="00BE4920" w:rsidRPr="0020146D" w14:paraId="1B5C0FB7" w14:textId="77777777" w:rsidTr="00BE4920">
        <w:tc>
          <w:tcPr>
            <w:tcW w:w="3681" w:type="dxa"/>
            <w:hideMark/>
          </w:tcPr>
          <w:p w14:paraId="2256558D" w14:textId="77777777" w:rsidR="00BE4920" w:rsidRPr="0020146D" w:rsidRDefault="00BE4920" w:rsidP="0020146D">
            <w:pPr>
              <w:rPr>
                <w:rFonts w:ascii="HelveticaNeueLT Pro 55 Roman" w:eastAsia="Times New Roman" w:hAnsi="HelveticaNeueLT Pro 55 Roman" w:cs="Times New Roman"/>
                <w:lang w:val="en-AU" w:eastAsia="en-AU"/>
              </w:rPr>
            </w:pPr>
            <w:proofErr w:type="spellStart"/>
            <w:r w:rsidRPr="0020146D">
              <w:rPr>
                <w:rFonts w:ascii="HelveticaNeueLT Pro 55 Roman" w:eastAsia="Times New Roman" w:hAnsi="HelveticaNeueLT Pro 55 Roman" w:cs="Times New Roman"/>
                <w:lang w:val="en-AU" w:eastAsia="en-AU"/>
              </w:rPr>
              <w:t>GaS</w:t>
            </w:r>
            <w:proofErr w:type="spellEnd"/>
          </w:p>
        </w:tc>
        <w:tc>
          <w:tcPr>
            <w:tcW w:w="9922" w:type="dxa"/>
            <w:hideMark/>
          </w:tcPr>
          <w:p w14:paraId="651CC26F"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Note cultural trends and prevention effectiveness</w:t>
            </w:r>
          </w:p>
        </w:tc>
      </w:tr>
      <w:tr w:rsidR="00BE4920" w:rsidRPr="0020146D" w14:paraId="14F20DD1" w14:textId="77777777" w:rsidTr="00BE4920">
        <w:tc>
          <w:tcPr>
            <w:tcW w:w="3681" w:type="dxa"/>
            <w:hideMark/>
          </w:tcPr>
          <w:p w14:paraId="14E6E292"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FARM</w:t>
            </w:r>
          </w:p>
        </w:tc>
        <w:tc>
          <w:tcPr>
            <w:tcW w:w="9922" w:type="dxa"/>
            <w:hideMark/>
          </w:tcPr>
          <w:p w14:paraId="788EAF90"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Review annual risk performance and audit outcomes</w:t>
            </w:r>
          </w:p>
        </w:tc>
      </w:tr>
      <w:tr w:rsidR="00BE4920" w:rsidRPr="0020146D" w14:paraId="58EC1DE6" w14:textId="77777777" w:rsidTr="00BE4920">
        <w:tc>
          <w:tcPr>
            <w:tcW w:w="3681" w:type="dxa"/>
            <w:hideMark/>
          </w:tcPr>
          <w:p w14:paraId="5E462704"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Council</w:t>
            </w:r>
          </w:p>
        </w:tc>
        <w:tc>
          <w:tcPr>
            <w:tcW w:w="9922" w:type="dxa"/>
            <w:hideMark/>
          </w:tcPr>
          <w:p w14:paraId="4453ABA1"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Consider findings from systemic review; endorse improvement priorities</w:t>
            </w:r>
          </w:p>
        </w:tc>
      </w:tr>
    </w:tbl>
    <w:p w14:paraId="7543D54C" w14:textId="03082F6E" w:rsidR="0020146D" w:rsidRPr="0020146D" w:rsidRDefault="0020146D" w:rsidP="0020146D">
      <w:pPr>
        <w:spacing w:after="0" w:line="240" w:lineRule="auto"/>
        <w:rPr>
          <w:rFonts w:ascii="HelveticaNeueLT Pro 55 Roman" w:eastAsia="Times New Roman" w:hAnsi="HelveticaNeueLT Pro 55 Roman" w:cs="Times New Roman"/>
          <w:lang w:val="en-AU" w:eastAsia="en-AU"/>
        </w:rPr>
      </w:pPr>
    </w:p>
    <w:p w14:paraId="465AAF28" w14:textId="77777777" w:rsidR="0020146D" w:rsidRP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November–December 2026 | Annual Review and Endorsement</w:t>
      </w:r>
    </w:p>
    <w:tbl>
      <w:tblPr>
        <w:tblStyle w:val="TableGrid"/>
        <w:tblW w:w="13603" w:type="dxa"/>
        <w:tblLook w:val="04A0" w:firstRow="1" w:lastRow="0" w:firstColumn="1" w:lastColumn="0" w:noHBand="0" w:noVBand="1"/>
      </w:tblPr>
      <w:tblGrid>
        <w:gridCol w:w="3681"/>
        <w:gridCol w:w="9922"/>
      </w:tblGrid>
      <w:tr w:rsidR="00BE4920" w:rsidRPr="0020146D" w14:paraId="22A42B48" w14:textId="77777777" w:rsidTr="00426AAF">
        <w:tc>
          <w:tcPr>
            <w:tcW w:w="3681" w:type="dxa"/>
            <w:shd w:val="clear" w:color="auto" w:fill="EEECE1" w:themeFill="background2"/>
            <w:hideMark/>
          </w:tcPr>
          <w:p w14:paraId="001ED988"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Committee</w:t>
            </w:r>
          </w:p>
        </w:tc>
        <w:tc>
          <w:tcPr>
            <w:tcW w:w="9922" w:type="dxa"/>
            <w:shd w:val="clear" w:color="auto" w:fill="EEECE1" w:themeFill="background2"/>
            <w:hideMark/>
          </w:tcPr>
          <w:p w14:paraId="3A8BDCD8" w14:textId="77777777" w:rsidR="00BE4920" w:rsidRPr="0020146D" w:rsidRDefault="00BE4920" w:rsidP="0020146D">
            <w:pPr>
              <w:jc w:val="center"/>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Key GBV Actions</w:t>
            </w:r>
          </w:p>
        </w:tc>
      </w:tr>
      <w:tr w:rsidR="00BE4920" w:rsidRPr="0020146D" w14:paraId="6DFC2084" w14:textId="77777777" w:rsidTr="00BE4920">
        <w:tc>
          <w:tcPr>
            <w:tcW w:w="3681" w:type="dxa"/>
            <w:hideMark/>
          </w:tcPr>
          <w:p w14:paraId="6B30C0E6" w14:textId="77777777" w:rsidR="00BE4920" w:rsidRPr="0020146D" w:rsidRDefault="00BE4920" w:rsidP="0020146D">
            <w:pPr>
              <w:rPr>
                <w:rFonts w:ascii="HelveticaNeueLT Pro 55 Roman" w:eastAsia="Times New Roman" w:hAnsi="HelveticaNeueLT Pro 55 Roman" w:cs="Times New Roman"/>
                <w:lang w:val="en-AU" w:eastAsia="en-AU"/>
              </w:rPr>
            </w:pPr>
            <w:proofErr w:type="spellStart"/>
            <w:r w:rsidRPr="0020146D">
              <w:rPr>
                <w:rFonts w:ascii="HelveticaNeueLT Pro 55 Roman" w:eastAsia="Times New Roman" w:hAnsi="HelveticaNeueLT Pro 55 Roman" w:cs="Times New Roman"/>
                <w:lang w:val="en-AU" w:eastAsia="en-AU"/>
              </w:rPr>
              <w:t>GaS</w:t>
            </w:r>
            <w:proofErr w:type="spellEnd"/>
          </w:p>
        </w:tc>
        <w:tc>
          <w:tcPr>
            <w:tcW w:w="9922" w:type="dxa"/>
            <w:hideMark/>
          </w:tcPr>
          <w:p w14:paraId="48653702"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Note draft annual review outcomes</w:t>
            </w:r>
          </w:p>
        </w:tc>
      </w:tr>
      <w:tr w:rsidR="00BE4920" w:rsidRPr="0020146D" w14:paraId="128425C9" w14:textId="77777777" w:rsidTr="00BE4920">
        <w:tc>
          <w:tcPr>
            <w:tcW w:w="3681" w:type="dxa"/>
            <w:hideMark/>
          </w:tcPr>
          <w:p w14:paraId="2DE82A41"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FARM</w:t>
            </w:r>
          </w:p>
        </w:tc>
        <w:tc>
          <w:tcPr>
            <w:tcW w:w="9922" w:type="dxa"/>
            <w:hideMark/>
          </w:tcPr>
          <w:p w14:paraId="3EA9C8AB"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Final assurance on GBV risks and controls</w:t>
            </w:r>
          </w:p>
        </w:tc>
      </w:tr>
      <w:tr w:rsidR="00BE4920" w:rsidRPr="0020146D" w14:paraId="03A8EA5B" w14:textId="77777777" w:rsidTr="00BE4920">
        <w:tc>
          <w:tcPr>
            <w:tcW w:w="3681" w:type="dxa"/>
            <w:hideMark/>
          </w:tcPr>
          <w:p w14:paraId="0936ED73"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Council</w:t>
            </w:r>
          </w:p>
        </w:tc>
        <w:tc>
          <w:tcPr>
            <w:tcW w:w="9922" w:type="dxa"/>
            <w:hideMark/>
          </w:tcPr>
          <w:p w14:paraId="1B400FC0"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Receive Annual GBV Outcomes Report (Council &amp; University); endorse updates</w:t>
            </w:r>
          </w:p>
        </w:tc>
      </w:tr>
      <w:tr w:rsidR="00BE4920" w:rsidRPr="0020146D" w14:paraId="02D38ED2" w14:textId="77777777" w:rsidTr="00BE4920">
        <w:tc>
          <w:tcPr>
            <w:tcW w:w="3681" w:type="dxa"/>
            <w:hideMark/>
          </w:tcPr>
          <w:p w14:paraId="08428126"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Council (out-of-cycle if needed)</w:t>
            </w:r>
          </w:p>
        </w:tc>
        <w:tc>
          <w:tcPr>
            <w:tcW w:w="9922" w:type="dxa"/>
            <w:hideMark/>
          </w:tcPr>
          <w:p w14:paraId="7A6153AA" w14:textId="77777777" w:rsidR="00BE4920" w:rsidRPr="0020146D" w:rsidRDefault="00BE4920" w:rsidP="0020146D">
            <w:pPr>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Annual Plan review confirmed for following year</w:t>
            </w:r>
          </w:p>
        </w:tc>
      </w:tr>
    </w:tbl>
    <w:p w14:paraId="091AD267" w14:textId="5D6C0129" w:rsidR="0020146D" w:rsidRPr="0020146D" w:rsidRDefault="0020146D" w:rsidP="0020146D">
      <w:pPr>
        <w:spacing w:after="0" w:line="240" w:lineRule="auto"/>
        <w:rPr>
          <w:rFonts w:ascii="HelveticaNeueLT Pro 55 Roman" w:eastAsia="Times New Roman" w:hAnsi="HelveticaNeueLT Pro 55 Roman" w:cs="Times New Roman"/>
          <w:lang w:val="en-AU" w:eastAsia="en-AU"/>
        </w:rPr>
      </w:pPr>
    </w:p>
    <w:p w14:paraId="6506712A" w14:textId="77777777" w:rsidR="0020146D" w:rsidRPr="0020146D" w:rsidRDefault="0020146D" w:rsidP="0020146D">
      <w:pPr>
        <w:spacing w:before="100" w:beforeAutospacing="1" w:after="100" w:afterAutospacing="1" w:line="240" w:lineRule="auto"/>
        <w:outlineLvl w:val="1"/>
        <w:rPr>
          <w:rFonts w:ascii="HelveticaNeueLT Pro 55 Roman" w:eastAsia="Times New Roman" w:hAnsi="HelveticaNeueLT Pro 55 Roman" w:cs="Times New Roman"/>
          <w:b/>
          <w:bCs/>
          <w:lang w:val="en-AU" w:eastAsia="en-AU"/>
        </w:rPr>
      </w:pPr>
      <w:r w:rsidRPr="0020146D">
        <w:rPr>
          <w:rFonts w:ascii="HelveticaNeueLT Pro 55 Roman" w:eastAsia="Times New Roman" w:hAnsi="HelveticaNeueLT Pro 55 Roman" w:cs="Times New Roman"/>
          <w:b/>
          <w:bCs/>
          <w:lang w:val="en-AU" w:eastAsia="en-AU"/>
        </w:rPr>
        <w:t>Standing (Ongoing) Actions – Reported by Exception</w:t>
      </w:r>
    </w:p>
    <w:p w14:paraId="43304E7C" w14:textId="77777777" w:rsidR="0020146D" w:rsidRPr="0020146D" w:rsidRDefault="0020146D" w:rsidP="0020146D">
      <w:pPr>
        <w:spacing w:before="100" w:beforeAutospacing="1" w:after="100" w:afterAutospacing="1" w:line="240" w:lineRule="auto"/>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These occur continuously and are captured through the above cycle:</w:t>
      </w:r>
    </w:p>
    <w:p w14:paraId="2F3FCDBB" w14:textId="77777777" w:rsidR="0020146D" w:rsidRPr="0020146D" w:rsidRDefault="0020146D" w:rsidP="0020146D">
      <w:pPr>
        <w:numPr>
          <w:ilvl w:val="0"/>
          <w:numId w:val="2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Receiving and responding to disclosures</w:t>
      </w:r>
    </w:p>
    <w:p w14:paraId="3DC43AE0" w14:textId="77777777" w:rsidR="0020146D" w:rsidRPr="0020146D" w:rsidRDefault="0020146D" w:rsidP="0020146D">
      <w:pPr>
        <w:numPr>
          <w:ilvl w:val="0"/>
          <w:numId w:val="2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Person-centred supports and safety planning</w:t>
      </w:r>
    </w:p>
    <w:p w14:paraId="2C138934" w14:textId="77777777" w:rsidR="0020146D" w:rsidRPr="0020146D" w:rsidRDefault="0020146D" w:rsidP="0020146D">
      <w:pPr>
        <w:numPr>
          <w:ilvl w:val="0"/>
          <w:numId w:val="2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After-hours crisis response</w:t>
      </w:r>
    </w:p>
    <w:p w14:paraId="048363F7" w14:textId="77777777" w:rsidR="0020146D" w:rsidRPr="0020146D" w:rsidRDefault="0020146D" w:rsidP="0020146D">
      <w:pPr>
        <w:numPr>
          <w:ilvl w:val="0"/>
          <w:numId w:val="2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Enforcement of behavioural and anti-hazing standards</w:t>
      </w:r>
    </w:p>
    <w:p w14:paraId="3F9EA690" w14:textId="77777777" w:rsidR="0020146D" w:rsidRPr="0020146D" w:rsidRDefault="0020146D" w:rsidP="0020146D">
      <w:pPr>
        <w:numPr>
          <w:ilvl w:val="0"/>
          <w:numId w:val="29"/>
        </w:numPr>
        <w:spacing w:before="100" w:beforeAutospacing="1" w:after="100" w:afterAutospacing="1" w:line="240" w:lineRule="auto"/>
        <w:rPr>
          <w:rFonts w:ascii="HelveticaNeueLT Pro 55 Roman" w:eastAsia="Times New Roman" w:hAnsi="HelveticaNeueLT Pro 55 Roman" w:cs="Times New Roman"/>
          <w:lang w:val="en-AU" w:eastAsia="en-AU"/>
        </w:rPr>
      </w:pPr>
      <w:r w:rsidRPr="0020146D">
        <w:rPr>
          <w:rFonts w:ascii="HelveticaNeueLT Pro 55 Roman" w:eastAsia="Times New Roman" w:hAnsi="HelveticaNeueLT Pro 55 Roman" w:cs="Times New Roman"/>
          <w:lang w:val="en-AU" w:eastAsia="en-AU"/>
        </w:rPr>
        <w:t>Confidential record-keeping and privacy compliance</w:t>
      </w:r>
    </w:p>
    <w:p w14:paraId="5D6D37F8" w14:textId="77777777" w:rsidR="00BA6F6A" w:rsidRPr="002D1233" w:rsidRDefault="00BA6F6A" w:rsidP="00705E60">
      <w:pPr>
        <w:spacing w:after="0"/>
        <w:rPr>
          <w:rFonts w:ascii="HelveticaNeueLT Pro 55 Roman" w:hAnsi="HelveticaNeueLT Pro 55 Roman"/>
          <w:color w:val="EA2833"/>
        </w:rPr>
      </w:pPr>
    </w:p>
    <w:sectPr w:rsidR="00BA6F6A" w:rsidRPr="002D1233" w:rsidSect="00574C96">
      <w:headerReference w:type="even" r:id="rId12"/>
      <w:headerReference w:type="default" r:id="rId13"/>
      <w:footerReference w:type="even" r:id="rId14"/>
      <w:footerReference w:type="default" r:id="rId15"/>
      <w:headerReference w:type="first" r:id="rId16"/>
      <w:footerReference w:type="first" r:id="rId17"/>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5F1A" w14:textId="77777777" w:rsidR="002D302B" w:rsidRDefault="002D302B" w:rsidP="00C00C87">
      <w:pPr>
        <w:spacing w:after="0" w:line="240" w:lineRule="auto"/>
      </w:pPr>
      <w:r>
        <w:separator/>
      </w:r>
    </w:p>
  </w:endnote>
  <w:endnote w:type="continuationSeparator" w:id="0">
    <w:p w14:paraId="00455B04" w14:textId="77777777" w:rsidR="002D302B" w:rsidRDefault="002D302B" w:rsidP="00C00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NeueLT Pro 55 Roman">
    <w:panose1 w:val="020B0604020202020204"/>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Poppins Medium">
    <w:panose1 w:val="000006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1A43" w14:textId="77777777" w:rsidR="00E07FE5" w:rsidRDefault="00E07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143971"/>
      <w:docPartObj>
        <w:docPartGallery w:val="Page Numbers (Bottom of Page)"/>
        <w:docPartUnique/>
      </w:docPartObj>
    </w:sdtPr>
    <w:sdtEndPr/>
    <w:sdtContent>
      <w:sdt>
        <w:sdtPr>
          <w:id w:val="-1769616900"/>
          <w:docPartObj>
            <w:docPartGallery w:val="Page Numbers (Top of Page)"/>
            <w:docPartUnique/>
          </w:docPartObj>
        </w:sdtPr>
        <w:sdtEndPr/>
        <w:sdtContent>
          <w:p w14:paraId="33F64A36" w14:textId="2EF4C11A" w:rsidR="00C00C87" w:rsidRDefault="00C00C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69EFEF" w14:textId="77777777" w:rsidR="00C00C87" w:rsidRDefault="00C00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5C0C" w14:textId="77777777" w:rsidR="00E07FE5" w:rsidRDefault="00E07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02D3" w14:textId="77777777" w:rsidR="002D302B" w:rsidRDefault="002D302B" w:rsidP="00C00C87">
      <w:pPr>
        <w:spacing w:after="0" w:line="240" w:lineRule="auto"/>
      </w:pPr>
      <w:r>
        <w:separator/>
      </w:r>
    </w:p>
  </w:footnote>
  <w:footnote w:type="continuationSeparator" w:id="0">
    <w:p w14:paraId="71C3E06F" w14:textId="77777777" w:rsidR="002D302B" w:rsidRDefault="002D302B" w:rsidP="00C00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A9C7" w14:textId="77777777" w:rsidR="00E07FE5" w:rsidRDefault="00E07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955310"/>
      <w:docPartObj>
        <w:docPartGallery w:val="Watermarks"/>
        <w:docPartUnique/>
      </w:docPartObj>
    </w:sdtPr>
    <w:sdtContent>
      <w:p w14:paraId="2F4B7135" w14:textId="47DBE8EA" w:rsidR="00E07FE5" w:rsidRDefault="00E07FE5">
        <w:pPr>
          <w:pStyle w:val="Header"/>
        </w:pPr>
        <w:r>
          <w:rPr>
            <w:noProof/>
          </w:rPr>
          <w:pict w14:anchorId="3E708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9C38" w14:textId="77777777" w:rsidR="00E07FE5" w:rsidRDefault="00E07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1F52BC"/>
    <w:multiLevelType w:val="multilevel"/>
    <w:tmpl w:val="6A1C3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317A7B"/>
    <w:multiLevelType w:val="multilevel"/>
    <w:tmpl w:val="3528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6E6492"/>
    <w:multiLevelType w:val="multilevel"/>
    <w:tmpl w:val="FCB4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66712E"/>
    <w:multiLevelType w:val="multilevel"/>
    <w:tmpl w:val="8B8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7F2474"/>
    <w:multiLevelType w:val="multilevel"/>
    <w:tmpl w:val="707E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D36E9F"/>
    <w:multiLevelType w:val="hybridMultilevel"/>
    <w:tmpl w:val="F8463C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8101CC"/>
    <w:multiLevelType w:val="hybridMultilevel"/>
    <w:tmpl w:val="70B07C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2F97C42"/>
    <w:multiLevelType w:val="hybridMultilevel"/>
    <w:tmpl w:val="26F05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7F2543A"/>
    <w:multiLevelType w:val="multilevel"/>
    <w:tmpl w:val="14F0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F66E3F"/>
    <w:multiLevelType w:val="hybridMultilevel"/>
    <w:tmpl w:val="5C185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B0185B"/>
    <w:multiLevelType w:val="multilevel"/>
    <w:tmpl w:val="3BA0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8A6600"/>
    <w:multiLevelType w:val="hybridMultilevel"/>
    <w:tmpl w:val="3844E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1E7434"/>
    <w:multiLevelType w:val="hybridMultilevel"/>
    <w:tmpl w:val="82B4DA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A5B2EEB"/>
    <w:multiLevelType w:val="multilevel"/>
    <w:tmpl w:val="6D82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2B6139"/>
    <w:multiLevelType w:val="hybridMultilevel"/>
    <w:tmpl w:val="AEC65AAA"/>
    <w:lvl w:ilvl="0" w:tplc="B822A5A4">
      <w:start w:val="1"/>
      <w:numFmt w:val="bullet"/>
      <w:lvlText w:val=""/>
      <w:lvlJc w:val="left"/>
      <w:pPr>
        <w:ind w:left="720" w:hanging="360"/>
      </w:pPr>
      <w:rPr>
        <w:rFonts w:ascii="Symbol" w:hAnsi="Symbol" w:hint="default"/>
      </w:rPr>
    </w:lvl>
    <w:lvl w:ilvl="1" w:tplc="1788449E">
      <w:start w:val="1"/>
      <w:numFmt w:val="bullet"/>
      <w:lvlText w:val="o"/>
      <w:lvlJc w:val="left"/>
      <w:pPr>
        <w:ind w:left="1440" w:hanging="360"/>
      </w:pPr>
      <w:rPr>
        <w:rFonts w:ascii="Courier New" w:hAnsi="Courier New" w:hint="default"/>
      </w:rPr>
    </w:lvl>
    <w:lvl w:ilvl="2" w:tplc="CC2687AC">
      <w:start w:val="1"/>
      <w:numFmt w:val="bullet"/>
      <w:lvlText w:val=""/>
      <w:lvlJc w:val="left"/>
      <w:pPr>
        <w:ind w:left="2160" w:hanging="360"/>
      </w:pPr>
      <w:rPr>
        <w:rFonts w:ascii="Wingdings" w:hAnsi="Wingdings" w:hint="default"/>
      </w:rPr>
    </w:lvl>
    <w:lvl w:ilvl="3" w:tplc="6AA49834">
      <w:start w:val="1"/>
      <w:numFmt w:val="bullet"/>
      <w:lvlText w:val=""/>
      <w:lvlJc w:val="left"/>
      <w:pPr>
        <w:ind w:left="2880" w:hanging="360"/>
      </w:pPr>
      <w:rPr>
        <w:rFonts w:ascii="Symbol" w:hAnsi="Symbol" w:hint="default"/>
      </w:rPr>
    </w:lvl>
    <w:lvl w:ilvl="4" w:tplc="7BDE7542">
      <w:start w:val="1"/>
      <w:numFmt w:val="bullet"/>
      <w:lvlText w:val="o"/>
      <w:lvlJc w:val="left"/>
      <w:pPr>
        <w:ind w:left="3600" w:hanging="360"/>
      </w:pPr>
      <w:rPr>
        <w:rFonts w:ascii="Courier New" w:hAnsi="Courier New" w:hint="default"/>
      </w:rPr>
    </w:lvl>
    <w:lvl w:ilvl="5" w:tplc="E9449A6E">
      <w:start w:val="1"/>
      <w:numFmt w:val="bullet"/>
      <w:lvlText w:val=""/>
      <w:lvlJc w:val="left"/>
      <w:pPr>
        <w:ind w:left="4320" w:hanging="360"/>
      </w:pPr>
      <w:rPr>
        <w:rFonts w:ascii="Wingdings" w:hAnsi="Wingdings" w:hint="default"/>
      </w:rPr>
    </w:lvl>
    <w:lvl w:ilvl="6" w:tplc="F22C31B8">
      <w:start w:val="1"/>
      <w:numFmt w:val="bullet"/>
      <w:lvlText w:val=""/>
      <w:lvlJc w:val="left"/>
      <w:pPr>
        <w:ind w:left="5040" w:hanging="360"/>
      </w:pPr>
      <w:rPr>
        <w:rFonts w:ascii="Symbol" w:hAnsi="Symbol" w:hint="default"/>
      </w:rPr>
    </w:lvl>
    <w:lvl w:ilvl="7" w:tplc="B2BED186">
      <w:start w:val="1"/>
      <w:numFmt w:val="bullet"/>
      <w:lvlText w:val="o"/>
      <w:lvlJc w:val="left"/>
      <w:pPr>
        <w:ind w:left="5760" w:hanging="360"/>
      </w:pPr>
      <w:rPr>
        <w:rFonts w:ascii="Courier New" w:hAnsi="Courier New" w:hint="default"/>
      </w:rPr>
    </w:lvl>
    <w:lvl w:ilvl="8" w:tplc="A2145E98">
      <w:start w:val="1"/>
      <w:numFmt w:val="bullet"/>
      <w:lvlText w:val=""/>
      <w:lvlJc w:val="left"/>
      <w:pPr>
        <w:ind w:left="6480" w:hanging="360"/>
      </w:pPr>
      <w:rPr>
        <w:rFonts w:ascii="Wingdings" w:hAnsi="Wingdings" w:hint="default"/>
      </w:rPr>
    </w:lvl>
  </w:abstractNum>
  <w:abstractNum w:abstractNumId="24" w15:restartNumberingAfterBreak="0">
    <w:nsid w:val="307835D6"/>
    <w:multiLevelType w:val="hybridMultilevel"/>
    <w:tmpl w:val="5EBA9C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12D43BE"/>
    <w:multiLevelType w:val="multilevel"/>
    <w:tmpl w:val="FF40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F580D"/>
    <w:multiLevelType w:val="multilevel"/>
    <w:tmpl w:val="683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DE5A4B"/>
    <w:multiLevelType w:val="multilevel"/>
    <w:tmpl w:val="504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72F8E"/>
    <w:multiLevelType w:val="multilevel"/>
    <w:tmpl w:val="26EE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790BE2"/>
    <w:multiLevelType w:val="hybridMultilevel"/>
    <w:tmpl w:val="C8B42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F75ECA"/>
    <w:multiLevelType w:val="multilevel"/>
    <w:tmpl w:val="82DE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FC342F"/>
    <w:multiLevelType w:val="multilevel"/>
    <w:tmpl w:val="7BAA8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51998"/>
    <w:multiLevelType w:val="multilevel"/>
    <w:tmpl w:val="4A1A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4AC2"/>
    <w:multiLevelType w:val="multilevel"/>
    <w:tmpl w:val="4EA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2B6589"/>
    <w:multiLevelType w:val="multilevel"/>
    <w:tmpl w:val="EA08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BB30A4"/>
    <w:multiLevelType w:val="hybridMultilevel"/>
    <w:tmpl w:val="FFE21B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C66EF"/>
    <w:multiLevelType w:val="multilevel"/>
    <w:tmpl w:val="7BBE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B0526"/>
    <w:multiLevelType w:val="multilevel"/>
    <w:tmpl w:val="5498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229CC"/>
    <w:multiLevelType w:val="multilevel"/>
    <w:tmpl w:val="4574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86397D"/>
    <w:multiLevelType w:val="hybridMultilevel"/>
    <w:tmpl w:val="BD4227AC"/>
    <w:lvl w:ilvl="0" w:tplc="53B26632">
      <w:start w:val="1"/>
      <w:numFmt w:val="bullet"/>
      <w:lvlText w:val=""/>
      <w:lvlJc w:val="left"/>
      <w:pPr>
        <w:ind w:left="720" w:hanging="360"/>
      </w:pPr>
      <w:rPr>
        <w:rFonts w:ascii="Symbol" w:hAnsi="Symbol" w:hint="default"/>
      </w:rPr>
    </w:lvl>
    <w:lvl w:ilvl="1" w:tplc="F71EDD2E">
      <w:start w:val="1"/>
      <w:numFmt w:val="bullet"/>
      <w:lvlText w:val="o"/>
      <w:lvlJc w:val="left"/>
      <w:pPr>
        <w:ind w:left="1440" w:hanging="360"/>
      </w:pPr>
      <w:rPr>
        <w:rFonts w:ascii="Courier New" w:hAnsi="Courier New" w:hint="default"/>
      </w:rPr>
    </w:lvl>
    <w:lvl w:ilvl="2" w:tplc="E43083B4">
      <w:start w:val="1"/>
      <w:numFmt w:val="bullet"/>
      <w:lvlText w:val=""/>
      <w:lvlJc w:val="left"/>
      <w:pPr>
        <w:ind w:left="2160" w:hanging="360"/>
      </w:pPr>
      <w:rPr>
        <w:rFonts w:ascii="Wingdings" w:hAnsi="Wingdings" w:hint="default"/>
      </w:rPr>
    </w:lvl>
    <w:lvl w:ilvl="3" w:tplc="0E32158E">
      <w:start w:val="1"/>
      <w:numFmt w:val="bullet"/>
      <w:lvlText w:val=""/>
      <w:lvlJc w:val="left"/>
      <w:pPr>
        <w:ind w:left="2880" w:hanging="360"/>
      </w:pPr>
      <w:rPr>
        <w:rFonts w:ascii="Symbol" w:hAnsi="Symbol" w:hint="default"/>
      </w:rPr>
    </w:lvl>
    <w:lvl w:ilvl="4" w:tplc="30A6CCBE">
      <w:start w:val="1"/>
      <w:numFmt w:val="bullet"/>
      <w:lvlText w:val="o"/>
      <w:lvlJc w:val="left"/>
      <w:pPr>
        <w:ind w:left="3600" w:hanging="360"/>
      </w:pPr>
      <w:rPr>
        <w:rFonts w:ascii="Courier New" w:hAnsi="Courier New" w:hint="default"/>
      </w:rPr>
    </w:lvl>
    <w:lvl w:ilvl="5" w:tplc="28849952">
      <w:start w:val="1"/>
      <w:numFmt w:val="bullet"/>
      <w:lvlText w:val=""/>
      <w:lvlJc w:val="left"/>
      <w:pPr>
        <w:ind w:left="4320" w:hanging="360"/>
      </w:pPr>
      <w:rPr>
        <w:rFonts w:ascii="Wingdings" w:hAnsi="Wingdings" w:hint="default"/>
      </w:rPr>
    </w:lvl>
    <w:lvl w:ilvl="6" w:tplc="45541E58">
      <w:start w:val="1"/>
      <w:numFmt w:val="bullet"/>
      <w:lvlText w:val=""/>
      <w:lvlJc w:val="left"/>
      <w:pPr>
        <w:ind w:left="5040" w:hanging="360"/>
      </w:pPr>
      <w:rPr>
        <w:rFonts w:ascii="Symbol" w:hAnsi="Symbol" w:hint="default"/>
      </w:rPr>
    </w:lvl>
    <w:lvl w:ilvl="7" w:tplc="84843306">
      <w:start w:val="1"/>
      <w:numFmt w:val="bullet"/>
      <w:lvlText w:val="o"/>
      <w:lvlJc w:val="left"/>
      <w:pPr>
        <w:ind w:left="5760" w:hanging="360"/>
      </w:pPr>
      <w:rPr>
        <w:rFonts w:ascii="Courier New" w:hAnsi="Courier New" w:hint="default"/>
      </w:rPr>
    </w:lvl>
    <w:lvl w:ilvl="8" w:tplc="BCFECE64">
      <w:start w:val="1"/>
      <w:numFmt w:val="bullet"/>
      <w:lvlText w:val=""/>
      <w:lvlJc w:val="left"/>
      <w:pPr>
        <w:ind w:left="6480" w:hanging="360"/>
      </w:pPr>
      <w:rPr>
        <w:rFonts w:ascii="Wingdings" w:hAnsi="Wingdings" w:hint="default"/>
      </w:rPr>
    </w:lvl>
  </w:abstractNum>
  <w:abstractNum w:abstractNumId="40" w15:restartNumberingAfterBreak="0">
    <w:nsid w:val="7A0D1399"/>
    <w:multiLevelType w:val="multilevel"/>
    <w:tmpl w:val="F7E83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AC0C79"/>
    <w:multiLevelType w:val="hybridMultilevel"/>
    <w:tmpl w:val="AD9CB128"/>
    <w:lvl w:ilvl="0" w:tplc="FE78DD52">
      <w:start w:val="1"/>
      <w:numFmt w:val="bullet"/>
      <w:lvlText w:val=""/>
      <w:lvlJc w:val="left"/>
      <w:pPr>
        <w:ind w:left="720" w:hanging="360"/>
      </w:pPr>
      <w:rPr>
        <w:rFonts w:ascii="Symbol" w:hAnsi="Symbol" w:hint="default"/>
      </w:rPr>
    </w:lvl>
    <w:lvl w:ilvl="1" w:tplc="20EC8164">
      <w:start w:val="1"/>
      <w:numFmt w:val="bullet"/>
      <w:lvlText w:val="o"/>
      <w:lvlJc w:val="left"/>
      <w:pPr>
        <w:ind w:left="1440" w:hanging="360"/>
      </w:pPr>
      <w:rPr>
        <w:rFonts w:ascii="Courier New" w:hAnsi="Courier New" w:hint="default"/>
      </w:rPr>
    </w:lvl>
    <w:lvl w:ilvl="2" w:tplc="773EFAAE">
      <w:start w:val="1"/>
      <w:numFmt w:val="bullet"/>
      <w:lvlText w:val=""/>
      <w:lvlJc w:val="left"/>
      <w:pPr>
        <w:ind w:left="2160" w:hanging="360"/>
      </w:pPr>
      <w:rPr>
        <w:rFonts w:ascii="Wingdings" w:hAnsi="Wingdings" w:hint="default"/>
      </w:rPr>
    </w:lvl>
    <w:lvl w:ilvl="3" w:tplc="7E8C4D0E">
      <w:start w:val="1"/>
      <w:numFmt w:val="bullet"/>
      <w:lvlText w:val=""/>
      <w:lvlJc w:val="left"/>
      <w:pPr>
        <w:ind w:left="2880" w:hanging="360"/>
      </w:pPr>
      <w:rPr>
        <w:rFonts w:ascii="Symbol" w:hAnsi="Symbol" w:hint="default"/>
      </w:rPr>
    </w:lvl>
    <w:lvl w:ilvl="4" w:tplc="91B8E844">
      <w:start w:val="1"/>
      <w:numFmt w:val="bullet"/>
      <w:lvlText w:val="o"/>
      <w:lvlJc w:val="left"/>
      <w:pPr>
        <w:ind w:left="3600" w:hanging="360"/>
      </w:pPr>
      <w:rPr>
        <w:rFonts w:ascii="Courier New" w:hAnsi="Courier New" w:hint="default"/>
      </w:rPr>
    </w:lvl>
    <w:lvl w:ilvl="5" w:tplc="29680672">
      <w:start w:val="1"/>
      <w:numFmt w:val="bullet"/>
      <w:lvlText w:val=""/>
      <w:lvlJc w:val="left"/>
      <w:pPr>
        <w:ind w:left="4320" w:hanging="360"/>
      </w:pPr>
      <w:rPr>
        <w:rFonts w:ascii="Wingdings" w:hAnsi="Wingdings" w:hint="default"/>
      </w:rPr>
    </w:lvl>
    <w:lvl w:ilvl="6" w:tplc="C7A6C1A4">
      <w:start w:val="1"/>
      <w:numFmt w:val="bullet"/>
      <w:lvlText w:val=""/>
      <w:lvlJc w:val="left"/>
      <w:pPr>
        <w:ind w:left="5040" w:hanging="360"/>
      </w:pPr>
      <w:rPr>
        <w:rFonts w:ascii="Symbol" w:hAnsi="Symbol" w:hint="default"/>
      </w:rPr>
    </w:lvl>
    <w:lvl w:ilvl="7" w:tplc="2B409A5E">
      <w:start w:val="1"/>
      <w:numFmt w:val="bullet"/>
      <w:lvlText w:val="o"/>
      <w:lvlJc w:val="left"/>
      <w:pPr>
        <w:ind w:left="5760" w:hanging="360"/>
      </w:pPr>
      <w:rPr>
        <w:rFonts w:ascii="Courier New" w:hAnsi="Courier New" w:hint="default"/>
      </w:rPr>
    </w:lvl>
    <w:lvl w:ilvl="8" w:tplc="8C40EC26">
      <w:start w:val="1"/>
      <w:numFmt w:val="bullet"/>
      <w:lvlText w:val=""/>
      <w:lvlJc w:val="left"/>
      <w:pPr>
        <w:ind w:left="6480" w:hanging="360"/>
      </w:pPr>
      <w:rPr>
        <w:rFonts w:ascii="Wingdings" w:hAnsi="Wingdings" w:hint="default"/>
      </w:rPr>
    </w:lvl>
  </w:abstractNum>
  <w:abstractNum w:abstractNumId="42" w15:restartNumberingAfterBreak="0">
    <w:nsid w:val="7E8625D4"/>
    <w:multiLevelType w:val="multilevel"/>
    <w:tmpl w:val="CCF6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412674">
    <w:abstractNumId w:val="23"/>
  </w:num>
  <w:num w:numId="2" w16cid:durableId="735321255">
    <w:abstractNumId w:val="41"/>
  </w:num>
  <w:num w:numId="3" w16cid:durableId="1949462073">
    <w:abstractNumId w:val="39"/>
  </w:num>
  <w:num w:numId="4" w16cid:durableId="1500123468">
    <w:abstractNumId w:val="8"/>
  </w:num>
  <w:num w:numId="5" w16cid:durableId="585263407">
    <w:abstractNumId w:val="6"/>
  </w:num>
  <w:num w:numId="6" w16cid:durableId="2105613543">
    <w:abstractNumId w:val="5"/>
  </w:num>
  <w:num w:numId="7" w16cid:durableId="69471749">
    <w:abstractNumId w:val="4"/>
  </w:num>
  <w:num w:numId="8" w16cid:durableId="686055496">
    <w:abstractNumId w:val="7"/>
  </w:num>
  <w:num w:numId="9" w16cid:durableId="643465016">
    <w:abstractNumId w:val="3"/>
  </w:num>
  <w:num w:numId="10" w16cid:durableId="195853288">
    <w:abstractNumId w:val="2"/>
  </w:num>
  <w:num w:numId="11" w16cid:durableId="1363701267">
    <w:abstractNumId w:val="1"/>
  </w:num>
  <w:num w:numId="12" w16cid:durableId="207106719">
    <w:abstractNumId w:val="0"/>
  </w:num>
  <w:num w:numId="13" w16cid:durableId="585308074">
    <w:abstractNumId w:val="18"/>
  </w:num>
  <w:num w:numId="14" w16cid:durableId="1182359235">
    <w:abstractNumId w:val="10"/>
  </w:num>
  <w:num w:numId="15" w16cid:durableId="206718887">
    <w:abstractNumId w:val="22"/>
  </w:num>
  <w:num w:numId="16" w16cid:durableId="749229751">
    <w:abstractNumId w:val="19"/>
  </w:num>
  <w:num w:numId="17" w16cid:durableId="794980152">
    <w:abstractNumId w:val="25"/>
  </w:num>
  <w:num w:numId="18" w16cid:durableId="443427422">
    <w:abstractNumId w:val="16"/>
  </w:num>
  <w:num w:numId="19" w16cid:durableId="402873020">
    <w:abstractNumId w:val="15"/>
  </w:num>
  <w:num w:numId="20" w16cid:durableId="913272103">
    <w:abstractNumId w:val="21"/>
  </w:num>
  <w:num w:numId="21" w16cid:durableId="2104840805">
    <w:abstractNumId w:val="24"/>
  </w:num>
  <w:num w:numId="22" w16cid:durableId="1221408090">
    <w:abstractNumId w:val="35"/>
  </w:num>
  <w:num w:numId="23" w16cid:durableId="1857041247">
    <w:abstractNumId w:val="14"/>
  </w:num>
  <w:num w:numId="24" w16cid:durableId="1561401260">
    <w:abstractNumId w:val="29"/>
  </w:num>
  <w:num w:numId="25" w16cid:durableId="2143695422">
    <w:abstractNumId w:val="42"/>
  </w:num>
  <w:num w:numId="26" w16cid:durableId="2064602077">
    <w:abstractNumId w:val="26"/>
  </w:num>
  <w:num w:numId="27" w16cid:durableId="935401924">
    <w:abstractNumId w:val="13"/>
  </w:num>
  <w:num w:numId="28" w16cid:durableId="1490751214">
    <w:abstractNumId w:val="27"/>
  </w:num>
  <w:num w:numId="29" w16cid:durableId="1437676009">
    <w:abstractNumId w:val="37"/>
  </w:num>
  <w:num w:numId="30" w16cid:durableId="947739091">
    <w:abstractNumId w:val="30"/>
  </w:num>
  <w:num w:numId="31" w16cid:durableId="1418360132">
    <w:abstractNumId w:val="31"/>
  </w:num>
  <w:num w:numId="32" w16cid:durableId="1089619145">
    <w:abstractNumId w:val="11"/>
  </w:num>
  <w:num w:numId="33" w16cid:durableId="1234195138">
    <w:abstractNumId w:val="12"/>
  </w:num>
  <w:num w:numId="34" w16cid:durableId="4789340">
    <w:abstractNumId w:val="17"/>
  </w:num>
  <w:num w:numId="35" w16cid:durableId="1391727138">
    <w:abstractNumId w:val="28"/>
  </w:num>
  <w:num w:numId="36" w16cid:durableId="860702610">
    <w:abstractNumId w:val="36"/>
  </w:num>
  <w:num w:numId="37" w16cid:durableId="571358758">
    <w:abstractNumId w:val="40"/>
  </w:num>
  <w:num w:numId="38" w16cid:durableId="1050154901">
    <w:abstractNumId w:val="38"/>
  </w:num>
  <w:num w:numId="39" w16cid:durableId="637686657">
    <w:abstractNumId w:val="34"/>
  </w:num>
  <w:num w:numId="40" w16cid:durableId="545020462">
    <w:abstractNumId w:val="32"/>
  </w:num>
  <w:num w:numId="41" w16cid:durableId="1775051317">
    <w:abstractNumId w:val="33"/>
  </w:num>
  <w:num w:numId="42" w16cid:durableId="400711101">
    <w:abstractNumId w:val="9"/>
  </w:num>
  <w:num w:numId="43" w16cid:durableId="3294524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AF3"/>
    <w:rsid w:val="00034616"/>
    <w:rsid w:val="0006063C"/>
    <w:rsid w:val="000A78E0"/>
    <w:rsid w:val="00121552"/>
    <w:rsid w:val="0012732A"/>
    <w:rsid w:val="0015074B"/>
    <w:rsid w:val="00152C02"/>
    <w:rsid w:val="001B34D8"/>
    <w:rsid w:val="0020146D"/>
    <w:rsid w:val="00213992"/>
    <w:rsid w:val="00244E1C"/>
    <w:rsid w:val="0029639D"/>
    <w:rsid w:val="002D1233"/>
    <w:rsid w:val="002D302B"/>
    <w:rsid w:val="00326F90"/>
    <w:rsid w:val="003476EE"/>
    <w:rsid w:val="003515FD"/>
    <w:rsid w:val="0035418C"/>
    <w:rsid w:val="003A0CF3"/>
    <w:rsid w:val="003A793B"/>
    <w:rsid w:val="003B7451"/>
    <w:rsid w:val="003D4913"/>
    <w:rsid w:val="003D64F4"/>
    <w:rsid w:val="003E4DE8"/>
    <w:rsid w:val="003E65CE"/>
    <w:rsid w:val="00412AF8"/>
    <w:rsid w:val="004134AA"/>
    <w:rsid w:val="004155EA"/>
    <w:rsid w:val="004162A0"/>
    <w:rsid w:val="00426AAF"/>
    <w:rsid w:val="005513AA"/>
    <w:rsid w:val="00570A44"/>
    <w:rsid w:val="00574C96"/>
    <w:rsid w:val="005A1B87"/>
    <w:rsid w:val="00643AAE"/>
    <w:rsid w:val="0066517D"/>
    <w:rsid w:val="006723BD"/>
    <w:rsid w:val="0069759D"/>
    <w:rsid w:val="006D1B82"/>
    <w:rsid w:val="00703C35"/>
    <w:rsid w:val="00705E60"/>
    <w:rsid w:val="00783E43"/>
    <w:rsid w:val="007971D6"/>
    <w:rsid w:val="0079781B"/>
    <w:rsid w:val="007B0B2C"/>
    <w:rsid w:val="007F723C"/>
    <w:rsid w:val="00850605"/>
    <w:rsid w:val="00867A19"/>
    <w:rsid w:val="00885B1E"/>
    <w:rsid w:val="008E4DB9"/>
    <w:rsid w:val="008F5FF8"/>
    <w:rsid w:val="008F7556"/>
    <w:rsid w:val="0090208D"/>
    <w:rsid w:val="00971EAA"/>
    <w:rsid w:val="009A55FD"/>
    <w:rsid w:val="009C6707"/>
    <w:rsid w:val="009F0E22"/>
    <w:rsid w:val="00A0261F"/>
    <w:rsid w:val="00AA1D8D"/>
    <w:rsid w:val="00AA2A4E"/>
    <w:rsid w:val="00B13F5C"/>
    <w:rsid w:val="00B238D4"/>
    <w:rsid w:val="00B47730"/>
    <w:rsid w:val="00B93F7A"/>
    <w:rsid w:val="00BA5847"/>
    <w:rsid w:val="00BA6F6A"/>
    <w:rsid w:val="00BB4036"/>
    <w:rsid w:val="00BE4920"/>
    <w:rsid w:val="00BF4BDC"/>
    <w:rsid w:val="00C00C87"/>
    <w:rsid w:val="00C975F5"/>
    <w:rsid w:val="00CA1118"/>
    <w:rsid w:val="00CB0664"/>
    <w:rsid w:val="00CC2AEA"/>
    <w:rsid w:val="00CD0EFF"/>
    <w:rsid w:val="00CD70FC"/>
    <w:rsid w:val="00D33B4F"/>
    <w:rsid w:val="00DA5D8E"/>
    <w:rsid w:val="00E07FE5"/>
    <w:rsid w:val="00E10BCE"/>
    <w:rsid w:val="00E26D89"/>
    <w:rsid w:val="00E510C8"/>
    <w:rsid w:val="00E6171C"/>
    <w:rsid w:val="00EC7524"/>
    <w:rsid w:val="00EE0398"/>
    <w:rsid w:val="00F80C26"/>
    <w:rsid w:val="00F94FC1"/>
    <w:rsid w:val="00FA3A5A"/>
    <w:rsid w:val="00FB3548"/>
    <w:rsid w:val="00FC693F"/>
    <w:rsid w:val="07E37946"/>
    <w:rsid w:val="16DF8D4D"/>
    <w:rsid w:val="1DA11713"/>
    <w:rsid w:val="2F2C72FC"/>
    <w:rsid w:val="39E89928"/>
    <w:rsid w:val="3C17E8B2"/>
    <w:rsid w:val="47032344"/>
    <w:rsid w:val="494728BF"/>
    <w:rsid w:val="79C71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404E87"/>
  <w14:defaultImageDpi w14:val="300"/>
  <w15:docId w15:val="{77FA4F08-55E3-4276-9836-71C9F293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C1"/>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72"/>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4"/>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6"/>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C7524"/>
    <w:rPr>
      <w:color w:val="0000FF" w:themeColor="hyperlink"/>
      <w:u w:val="single"/>
    </w:rPr>
  </w:style>
  <w:style w:type="character" w:styleId="UnresolvedMention">
    <w:name w:val="Unresolved Mention"/>
    <w:basedOn w:val="DefaultParagraphFont"/>
    <w:uiPriority w:val="99"/>
    <w:semiHidden/>
    <w:unhideWhenUsed/>
    <w:rsid w:val="00EC7524"/>
    <w:rPr>
      <w:color w:val="605E5C"/>
      <w:shd w:val="clear" w:color="auto" w:fill="E1DFDD"/>
    </w:rPr>
  </w:style>
  <w:style w:type="table" w:styleId="PlainTable1">
    <w:name w:val="Plain Table 1"/>
    <w:basedOn w:val="TableNormal"/>
    <w:uiPriority w:val="99"/>
    <w:rsid w:val="00B93F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A5D8E"/>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98d784-5c8d-40a3-be3a-32a77906fd66">
      <Terms xmlns="http://schemas.microsoft.com/office/infopath/2007/PartnerControls"/>
    </lcf76f155ced4ddcb4097134ff3c332f>
    <TaxCatchAll xmlns="4aad71c5-d4b7-4c51-9dfc-df719fd779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27C6F67F9F8B48A73A82453F8687D6" ma:contentTypeVersion="13" ma:contentTypeDescription="Create a new document." ma:contentTypeScope="" ma:versionID="cb0784c890f1c6ba2d200105d7a1d6b5">
  <xsd:schema xmlns:xsd="http://www.w3.org/2001/XMLSchema" xmlns:xs="http://www.w3.org/2001/XMLSchema" xmlns:p="http://schemas.microsoft.com/office/2006/metadata/properties" xmlns:ns2="6598d784-5c8d-40a3-be3a-32a77906fd66" xmlns:ns3="4aad71c5-d4b7-4c51-9dfc-df719fd779b8" targetNamespace="http://schemas.microsoft.com/office/2006/metadata/properties" ma:root="true" ma:fieldsID="fcdcba8b2e5b77f0963d72e12a1410ae" ns2:_="" ns3:_="">
    <xsd:import namespace="6598d784-5c8d-40a3-be3a-32a77906fd66"/>
    <xsd:import namespace="4aad71c5-d4b7-4c51-9dfc-df719fd779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8d784-5c8d-40a3-be3a-32a77906f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3ad973-af16-4205-9660-1e32b78a9bb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d71c5-d4b7-4c51-9dfc-df719fd779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765763-fa9f-4957-82ce-34331e904d11}" ma:internalName="TaxCatchAll" ma:showField="CatchAllData" ma:web="4aad71c5-d4b7-4c51-9dfc-df719fd779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F77E1-AA38-4A99-A781-7A4CBFA277E2}">
  <ds:schemaRefs>
    <ds:schemaRef ds:uri="http://purl.org/dc/terms/"/>
    <ds:schemaRef ds:uri="http://schemas.openxmlformats.org/package/2006/metadata/core-properties"/>
    <ds:schemaRef ds:uri="7cc1fba0-2a1c-4852-a4a6-cad9690d56d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F8CB576-18BF-4E7A-BFA2-26B0FB57C1F1}">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ACEC2B5-551C-4AA8-A9D6-5B95E8DE10A8}"/>
</file>

<file path=docProps/app.xml><?xml version="1.0" encoding="utf-8"?>
<Properties xmlns="http://schemas.openxmlformats.org/officeDocument/2006/extended-properties" xmlns:vt="http://schemas.openxmlformats.org/officeDocument/2006/docPropsVTypes">
  <Template>Normal</Template>
  <TotalTime>1</TotalTime>
  <Pages>21</Pages>
  <Words>4312</Words>
  <Characters>28246</Characters>
  <Application>Microsoft Office Word</Application>
  <DocSecurity>0</DocSecurity>
  <Lines>817</Lines>
  <Paragraphs>456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Joanna Rosewell</cp:lastModifiedBy>
  <cp:revision>3</cp:revision>
  <cp:lastPrinted>2025-12-15T06:41:00Z</cp:lastPrinted>
  <dcterms:created xsi:type="dcterms:W3CDTF">2025-12-16T05:25:00Z</dcterms:created>
  <dcterms:modified xsi:type="dcterms:W3CDTF">2025-12-16T05:25:00Z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0x0101000E27C6F67F9F8B48A73A82453F8687D6</vt:lpwstr>
  </property>
  <property fmtid="{D5CDD505-2E9C-101B-9397-08002B2CF9AE}" pid="3" name="MediaServiceImageTags">
    <vt:lpwstr/>
  </property>
</Properties>
</file>